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47C" w:rsidRPr="00A8347C" w:rsidRDefault="00A8347C" w:rsidP="00A8347C">
      <w:pPr>
        <w:spacing w:after="0" w:line="240" w:lineRule="auto"/>
        <w:rPr>
          <w:rFonts w:ascii="Times New Roman" w:eastAsia="Times New Roman" w:hAnsi="Times New Roman" w:cs="Times New Roman"/>
          <w:sz w:val="24"/>
          <w:szCs w:val="24"/>
          <w:lang w:val="es-ES" w:eastAsia="es-ES"/>
        </w:rPr>
      </w:pPr>
    </w:p>
    <w:p w:rsidR="00A8347C" w:rsidRPr="00A8347C" w:rsidRDefault="00A8347C" w:rsidP="00A8347C">
      <w:pPr>
        <w:keepNext/>
        <w:spacing w:after="0" w:line="240" w:lineRule="auto"/>
        <w:ind w:firstLine="708"/>
        <w:jc w:val="both"/>
        <w:outlineLvl w:val="0"/>
        <w:rPr>
          <w:rFonts w:ascii="Calibri" w:eastAsia="Times New Roman" w:hAnsi="Calibri" w:cs="Calibri"/>
          <w:b/>
          <w:bCs/>
          <w:iCs/>
          <w:color w:val="767171"/>
          <w:sz w:val="26"/>
          <w:szCs w:val="26"/>
          <w:lang w:eastAsia="es-ES"/>
        </w:rPr>
      </w:pPr>
      <w:r w:rsidRPr="00A8347C">
        <w:rPr>
          <w:rFonts w:ascii="Calibri" w:eastAsia="Times New Roman" w:hAnsi="Calibri" w:cs="Calibri"/>
          <w:b/>
          <w:bCs/>
          <w:iCs/>
          <w:color w:val="767171"/>
          <w:sz w:val="26"/>
          <w:szCs w:val="26"/>
          <w:lang w:eastAsia="es-ES"/>
        </w:rPr>
        <w:t>León, Guanajuato, a 1 uno de diciembre del año 2017 dos mil diecisiete</w:t>
      </w:r>
      <w:r w:rsidRPr="00A8347C">
        <w:rPr>
          <w:rFonts w:ascii="Calibri" w:eastAsia="Times New Roman" w:hAnsi="Calibri" w:cs="Calibri"/>
          <w:b/>
          <w:bCs/>
          <w:i/>
          <w:iCs/>
          <w:color w:val="767171"/>
          <w:sz w:val="26"/>
          <w:szCs w:val="26"/>
          <w:lang w:eastAsia="es-ES"/>
        </w:rPr>
        <w:t xml:space="preserve">. . </w:t>
      </w:r>
    </w:p>
    <w:p w:rsidR="00A8347C" w:rsidRPr="00A8347C" w:rsidRDefault="00A8347C" w:rsidP="00A8347C">
      <w:pPr>
        <w:spacing w:after="0" w:line="240" w:lineRule="auto"/>
        <w:rPr>
          <w:rFonts w:ascii="Calibri" w:eastAsia="Times New Roman" w:hAnsi="Calibri" w:cs="Calibri"/>
          <w:color w:val="767171"/>
          <w:szCs w:val="26"/>
          <w:lang w:val="es-ES" w:eastAsia="es-ES"/>
        </w:rPr>
      </w:pPr>
    </w:p>
    <w:p w:rsidR="00A8347C" w:rsidRPr="00A8347C" w:rsidRDefault="00A8347C" w:rsidP="00A8347C">
      <w:pPr>
        <w:spacing w:after="0" w:line="240" w:lineRule="auto"/>
        <w:ind w:firstLine="708"/>
        <w:jc w:val="both"/>
        <w:rPr>
          <w:rFonts w:ascii="Calibri" w:eastAsia="Times New Roman" w:hAnsi="Calibri" w:cs="Calibri"/>
          <w:color w:val="767171"/>
          <w:sz w:val="26"/>
          <w:szCs w:val="26"/>
          <w:lang w:eastAsia="es-ES"/>
        </w:rPr>
      </w:pPr>
      <w:r w:rsidRPr="00A8347C">
        <w:rPr>
          <w:rFonts w:ascii="Calibri" w:eastAsia="Times New Roman" w:hAnsi="Calibri" w:cs="Calibri"/>
          <w:b/>
          <w:bCs/>
          <w:i/>
          <w:iCs/>
          <w:color w:val="767171"/>
          <w:sz w:val="26"/>
          <w:szCs w:val="26"/>
          <w:lang w:eastAsia="es-ES"/>
        </w:rPr>
        <w:t xml:space="preserve">V I S T O S  </w:t>
      </w:r>
      <w:r w:rsidRPr="00A8347C">
        <w:rPr>
          <w:rFonts w:ascii="Calibri" w:eastAsia="Times New Roman" w:hAnsi="Calibri" w:cs="Calibri"/>
          <w:bCs/>
          <w:iCs/>
          <w:color w:val="767171"/>
          <w:sz w:val="26"/>
          <w:szCs w:val="26"/>
          <w:lang w:eastAsia="es-ES"/>
        </w:rPr>
        <w:t>para dictar sentencia definitiva</w:t>
      </w:r>
      <w:r w:rsidRPr="00A8347C">
        <w:rPr>
          <w:rFonts w:ascii="Calibri" w:eastAsia="Times New Roman" w:hAnsi="Calibri" w:cs="Calibri"/>
          <w:color w:val="767171"/>
          <w:sz w:val="26"/>
          <w:szCs w:val="26"/>
          <w:lang w:eastAsia="es-ES"/>
        </w:rPr>
        <w:t xml:space="preserve">, los autos del proceso administrativo identificado con el número </w:t>
      </w:r>
      <w:r w:rsidRPr="00A8347C">
        <w:rPr>
          <w:rFonts w:ascii="Calibri" w:eastAsia="Times New Roman" w:hAnsi="Calibri" w:cs="Calibri"/>
          <w:b/>
          <w:color w:val="767171"/>
          <w:sz w:val="26"/>
          <w:szCs w:val="26"/>
          <w:lang w:eastAsia="es-ES"/>
        </w:rPr>
        <w:t>662</w:t>
      </w:r>
      <w:r w:rsidRPr="00A8347C">
        <w:rPr>
          <w:rFonts w:ascii="Calibri" w:eastAsia="Times New Roman" w:hAnsi="Calibri" w:cs="Calibri"/>
          <w:b/>
          <w:bCs/>
          <w:iCs/>
          <w:color w:val="767171"/>
          <w:sz w:val="26"/>
          <w:szCs w:val="26"/>
          <w:lang w:eastAsia="es-ES"/>
        </w:rPr>
        <w:t>/2doJAM/2017</w:t>
      </w:r>
      <w:r w:rsidRPr="00A8347C">
        <w:rPr>
          <w:rFonts w:ascii="Calibri" w:eastAsia="Times New Roman" w:hAnsi="Calibri" w:cs="Calibri"/>
          <w:b/>
          <w:iCs/>
          <w:color w:val="767171"/>
          <w:sz w:val="26"/>
          <w:szCs w:val="26"/>
          <w:lang w:eastAsia="es-ES"/>
        </w:rPr>
        <w:t>-JN</w:t>
      </w:r>
      <w:r w:rsidRPr="00A8347C">
        <w:rPr>
          <w:rFonts w:ascii="Calibri" w:eastAsia="Times New Roman" w:hAnsi="Calibri" w:cs="Calibri"/>
          <w:color w:val="767171"/>
          <w:sz w:val="26"/>
          <w:szCs w:val="26"/>
          <w:lang w:eastAsia="es-ES"/>
        </w:rPr>
        <w:t xml:space="preserve">, promovido por el ciudadano </w:t>
      </w:r>
      <w:r w:rsidRPr="00A8347C">
        <w:rPr>
          <w:rFonts w:ascii="Calibri" w:eastAsia="Times New Roman" w:hAnsi="Calibri" w:cs="Calibri"/>
          <w:b/>
          <w:color w:val="767171"/>
          <w:sz w:val="26"/>
          <w:szCs w:val="26"/>
          <w:lang w:eastAsia="es-ES"/>
        </w:rPr>
        <w:t>*****</w:t>
      </w:r>
      <w:r w:rsidRPr="00A8347C">
        <w:rPr>
          <w:rFonts w:ascii="Calibri" w:eastAsia="Times New Roman" w:hAnsi="Calibri" w:cs="Calibri"/>
          <w:b/>
          <w:bCs/>
          <w:color w:val="767171"/>
          <w:sz w:val="26"/>
          <w:szCs w:val="26"/>
          <w:lang w:eastAsia="es-ES"/>
        </w:rPr>
        <w:t xml:space="preserve">; </w:t>
      </w:r>
      <w:r w:rsidRPr="00A8347C">
        <w:rPr>
          <w:rFonts w:ascii="Calibri" w:eastAsia="Times New Roman" w:hAnsi="Calibri" w:cs="Calibri"/>
          <w:color w:val="767171"/>
          <w:sz w:val="26"/>
          <w:szCs w:val="26"/>
          <w:lang w:eastAsia="es-ES"/>
        </w:rPr>
        <w:t xml:space="preserve">y,. . . . . . . . . . . . . . . . . . . . . . . . . . . . . . . . . </w:t>
      </w:r>
    </w:p>
    <w:p w:rsidR="00A8347C" w:rsidRPr="00A8347C" w:rsidRDefault="00A8347C" w:rsidP="00A8347C">
      <w:pPr>
        <w:spacing w:after="0" w:line="240" w:lineRule="auto"/>
        <w:ind w:firstLine="708"/>
        <w:jc w:val="both"/>
        <w:rPr>
          <w:rFonts w:ascii="Calibri" w:eastAsia="Times New Roman" w:hAnsi="Calibri" w:cs="Calibri"/>
          <w:color w:val="767171"/>
          <w:szCs w:val="26"/>
          <w:lang w:eastAsia="es-ES"/>
        </w:rPr>
      </w:pPr>
    </w:p>
    <w:p w:rsidR="00A8347C" w:rsidRPr="00A8347C" w:rsidRDefault="00A8347C" w:rsidP="00A8347C">
      <w:pPr>
        <w:spacing w:after="0" w:line="240" w:lineRule="auto"/>
        <w:ind w:firstLine="708"/>
        <w:jc w:val="center"/>
        <w:rPr>
          <w:rFonts w:ascii="Calibri" w:eastAsia="Times New Roman" w:hAnsi="Calibri" w:cs="Calibri"/>
          <w:b/>
          <w:bCs/>
          <w:i/>
          <w:iCs/>
          <w:color w:val="767171"/>
          <w:sz w:val="26"/>
          <w:szCs w:val="26"/>
          <w:lang w:eastAsia="es-ES"/>
        </w:rPr>
      </w:pPr>
      <w:r w:rsidRPr="00A8347C">
        <w:rPr>
          <w:rFonts w:ascii="Calibri" w:eastAsia="Times New Roman" w:hAnsi="Calibri" w:cs="Calibri"/>
          <w:b/>
          <w:bCs/>
          <w:i/>
          <w:iCs/>
          <w:color w:val="767171"/>
          <w:sz w:val="26"/>
          <w:szCs w:val="26"/>
          <w:lang w:eastAsia="es-ES"/>
        </w:rPr>
        <w:t xml:space="preserve">C O N S I D E R A N D </w:t>
      </w:r>
      <w:proofErr w:type="gramStart"/>
      <w:r w:rsidRPr="00A8347C">
        <w:rPr>
          <w:rFonts w:ascii="Calibri" w:eastAsia="Times New Roman" w:hAnsi="Calibri" w:cs="Calibri"/>
          <w:b/>
          <w:bCs/>
          <w:i/>
          <w:iCs/>
          <w:color w:val="767171"/>
          <w:sz w:val="26"/>
          <w:szCs w:val="26"/>
          <w:lang w:eastAsia="es-ES"/>
        </w:rPr>
        <w:t>O :</w:t>
      </w:r>
      <w:proofErr w:type="gramEnd"/>
    </w:p>
    <w:p w:rsidR="00A8347C" w:rsidRPr="00A8347C" w:rsidRDefault="00A8347C" w:rsidP="00A8347C">
      <w:pPr>
        <w:spacing w:after="0" w:line="240" w:lineRule="auto"/>
        <w:jc w:val="both"/>
        <w:rPr>
          <w:rFonts w:ascii="Calibri" w:eastAsia="Times New Roman" w:hAnsi="Calibri" w:cs="Calibri"/>
          <w:b/>
          <w:bCs/>
          <w:i/>
          <w:iCs/>
          <w:color w:val="767171"/>
          <w:sz w:val="26"/>
          <w:szCs w:val="26"/>
          <w:lang w:eastAsia="es-ES"/>
        </w:rPr>
      </w:pPr>
    </w:p>
    <w:p w:rsidR="00A8347C" w:rsidRPr="00A8347C" w:rsidRDefault="00A8347C" w:rsidP="00A8347C">
      <w:pPr>
        <w:spacing w:after="0" w:line="240" w:lineRule="auto"/>
        <w:jc w:val="right"/>
        <w:rPr>
          <w:rFonts w:ascii="Calibri" w:eastAsia="Times New Roman" w:hAnsi="Calibri" w:cs="Calibri"/>
          <w:b/>
          <w:bCs/>
          <w:iCs/>
          <w:color w:val="767171"/>
          <w:sz w:val="26"/>
          <w:szCs w:val="26"/>
          <w:lang w:eastAsia="es-ES"/>
        </w:rPr>
      </w:pPr>
      <w:r w:rsidRPr="00A8347C">
        <w:rPr>
          <w:rFonts w:ascii="Calibri" w:eastAsia="Times New Roman" w:hAnsi="Calibri" w:cs="Calibri"/>
          <w:b/>
          <w:bCs/>
          <w:iCs/>
          <w:color w:val="767171"/>
          <w:sz w:val="26"/>
          <w:szCs w:val="26"/>
          <w:lang w:eastAsia="es-ES"/>
        </w:rPr>
        <w:t>Expediente número 66</w:t>
      </w:r>
      <w:r w:rsidRPr="00A8347C">
        <w:rPr>
          <w:rFonts w:ascii="Calibri" w:eastAsia="Times New Roman" w:hAnsi="Calibri" w:cs="Calibri"/>
          <w:b/>
          <w:color w:val="767171"/>
          <w:sz w:val="26"/>
          <w:szCs w:val="26"/>
          <w:lang w:eastAsia="es-ES"/>
        </w:rPr>
        <w:t>2</w:t>
      </w:r>
      <w:r w:rsidRPr="00A8347C">
        <w:rPr>
          <w:rFonts w:ascii="Calibri" w:eastAsia="Times New Roman" w:hAnsi="Calibri" w:cs="Calibri"/>
          <w:b/>
          <w:bCs/>
          <w:iCs/>
          <w:color w:val="767171"/>
          <w:sz w:val="26"/>
          <w:szCs w:val="26"/>
          <w:lang w:eastAsia="es-ES"/>
        </w:rPr>
        <w:t>/2doJAM/2017</w:t>
      </w:r>
      <w:r w:rsidRPr="00A8347C">
        <w:rPr>
          <w:rFonts w:ascii="Calibri" w:eastAsia="Times New Roman" w:hAnsi="Calibri" w:cs="Calibri"/>
          <w:b/>
          <w:iCs/>
          <w:color w:val="767171"/>
          <w:sz w:val="26"/>
          <w:szCs w:val="26"/>
          <w:lang w:eastAsia="es-ES"/>
        </w:rPr>
        <w:t>-JN</w:t>
      </w:r>
    </w:p>
    <w:p w:rsidR="00A8347C" w:rsidRPr="00A8347C" w:rsidRDefault="00A8347C" w:rsidP="00A8347C">
      <w:pPr>
        <w:spacing w:after="0" w:line="240" w:lineRule="auto"/>
        <w:jc w:val="both"/>
        <w:rPr>
          <w:rFonts w:ascii="Calibri" w:eastAsia="Times New Roman" w:hAnsi="Calibri" w:cs="Calibri"/>
          <w:color w:val="767171"/>
          <w:szCs w:val="26"/>
          <w:lang w:eastAsia="es-ES"/>
        </w:rPr>
      </w:pPr>
    </w:p>
    <w:p w:rsidR="00A8347C" w:rsidRPr="00A8347C" w:rsidRDefault="00A8347C" w:rsidP="00A8347C">
      <w:pPr>
        <w:spacing w:after="0" w:line="240" w:lineRule="auto"/>
        <w:ind w:firstLine="708"/>
        <w:jc w:val="both"/>
        <w:rPr>
          <w:rFonts w:ascii="Calibri" w:eastAsia="Times New Roman" w:hAnsi="Calibri" w:cs="Times New Roman"/>
          <w:color w:val="767171"/>
          <w:sz w:val="26"/>
          <w:lang w:eastAsia="es-ES"/>
        </w:rPr>
      </w:pPr>
      <w:r w:rsidRPr="00A8347C">
        <w:rPr>
          <w:rFonts w:ascii="Calibri" w:eastAsia="Times New Roman" w:hAnsi="Calibri" w:cs="Calibri"/>
          <w:b/>
          <w:bCs/>
          <w:i/>
          <w:iCs/>
          <w:color w:val="767171"/>
          <w:sz w:val="26"/>
          <w:szCs w:val="26"/>
          <w:lang w:eastAsia="es-ES"/>
        </w:rPr>
        <w:t>SEGUNDO</w:t>
      </w:r>
      <w:r w:rsidRPr="00A8347C">
        <w:rPr>
          <w:rFonts w:ascii="Calibri" w:eastAsia="Times New Roman" w:hAnsi="Calibri" w:cs="Calibri"/>
          <w:b/>
          <w:bCs/>
          <w:color w:val="767171"/>
          <w:sz w:val="26"/>
          <w:szCs w:val="26"/>
          <w:lang w:eastAsia="es-ES"/>
        </w:rPr>
        <w:t xml:space="preserve">.- </w:t>
      </w:r>
      <w:r w:rsidRPr="00A8347C">
        <w:rPr>
          <w:rFonts w:ascii="Calibri" w:eastAsia="Times New Roman" w:hAnsi="Calibri" w:cs="Times New Roman"/>
          <w:color w:val="767171"/>
          <w:sz w:val="26"/>
          <w:lang w:eastAsia="es-ES"/>
        </w:rPr>
        <w:t xml:space="preserve">El proceso administrativo fue interpuesto oportunamente, toda vez que tratándose de negativa ficta, el proceso puede promoverse en cualquier tiempo, en tanto no sea notificada la resolución expresa por la autoridad demandada; de conformidad con lo dispuesto en el artículo 263, fracción III, del Código de Procedimiento y Justicia Administrativa para el Estado y los Municipios de Guanajuato; por lo que de autos se desprende que a la fecha en que se promovió la demanda, esto es, al día 16 dieciséis de junio del presente año; no se le había dado respuesta a la petición realizada por el actor, o no le se había hecho de su debido conocimiento. . . . . . . . . . . . .  . . . . . . . . .  . . . . . . . . . . . . </w:t>
      </w:r>
    </w:p>
    <w:p w:rsidR="00A8347C" w:rsidRPr="00A8347C" w:rsidRDefault="00A8347C" w:rsidP="00A8347C">
      <w:pPr>
        <w:spacing w:after="0" w:line="240" w:lineRule="auto"/>
        <w:jc w:val="both"/>
        <w:rPr>
          <w:rFonts w:ascii="Calibri" w:eastAsia="Times New Roman" w:hAnsi="Calibri" w:cs="Calibri"/>
          <w:b/>
          <w:iCs/>
          <w:color w:val="767171"/>
          <w:sz w:val="26"/>
          <w:szCs w:val="26"/>
          <w:lang w:eastAsia="es-ES"/>
        </w:rPr>
      </w:pPr>
    </w:p>
    <w:p w:rsidR="00A8347C" w:rsidRPr="00A8347C" w:rsidRDefault="00A8347C" w:rsidP="00A8347C">
      <w:pPr>
        <w:spacing w:after="0" w:line="240" w:lineRule="auto"/>
        <w:ind w:firstLine="708"/>
        <w:jc w:val="both"/>
        <w:rPr>
          <w:rFonts w:ascii="Calibri" w:eastAsia="Times New Roman" w:hAnsi="Calibri" w:cs="Times New Roman"/>
          <w:color w:val="767171"/>
          <w:sz w:val="26"/>
          <w:szCs w:val="27"/>
          <w:lang w:eastAsia="es-ES"/>
        </w:rPr>
      </w:pPr>
      <w:r w:rsidRPr="00A8347C">
        <w:rPr>
          <w:rFonts w:ascii="Calibri" w:eastAsia="Times New Roman" w:hAnsi="Calibri" w:cs="Calibri"/>
          <w:b/>
          <w:i/>
          <w:iCs/>
          <w:color w:val="767171"/>
          <w:sz w:val="26"/>
          <w:szCs w:val="26"/>
          <w:lang w:eastAsia="es-ES"/>
        </w:rPr>
        <w:t xml:space="preserve">TERCERO.- </w:t>
      </w:r>
      <w:r w:rsidRPr="00A8347C">
        <w:rPr>
          <w:rFonts w:ascii="Calibri" w:eastAsia="Times New Roman" w:hAnsi="Calibri" w:cs="Calibri"/>
          <w:color w:val="767171"/>
          <w:sz w:val="26"/>
          <w:szCs w:val="26"/>
          <w:lang w:eastAsia="es-ES"/>
        </w:rPr>
        <w:t xml:space="preserve">La existencia del acto impugnado inicialmente, -la negativa ficta a la petición </w:t>
      </w:r>
      <w:r w:rsidRPr="00A8347C">
        <w:rPr>
          <w:rFonts w:ascii="Calibri" w:eastAsia="Times New Roman" w:hAnsi="Calibri" w:cs="Times New Roman"/>
          <w:color w:val="767171"/>
          <w:sz w:val="26"/>
          <w:szCs w:val="27"/>
          <w:lang w:eastAsia="es-ES"/>
        </w:rPr>
        <w:t xml:space="preserve">en que, el impetrante, formuló a la demandada, en el sentido de que le informara el porcentaje de cobertura de servicios; de qué forma se intenta cumplir con los principios aplicables al tributo de un servicio tan elemental; en qué forma se promueve la cultura del consumo racional del agua; porcentaje de sus ingresos destinados a la expansión de la cobertura del servicio; así como el dictamen de eficacia sobre cumplimientos legales, del organismo operador del agua potable; </w:t>
      </w:r>
      <w:r w:rsidRPr="00A8347C">
        <w:rPr>
          <w:rFonts w:ascii="Calibri" w:eastAsia="Times New Roman" w:hAnsi="Calibri" w:cs="Calibri"/>
          <w:color w:val="767171"/>
          <w:sz w:val="26"/>
          <w:szCs w:val="26"/>
          <w:lang w:eastAsia="es-ES"/>
        </w:rPr>
        <w:t xml:space="preserve">se encuentra acreditada en autos, </w:t>
      </w:r>
      <w:r w:rsidRPr="00A8347C">
        <w:rPr>
          <w:rFonts w:ascii="Calibri" w:eastAsia="Times New Roman" w:hAnsi="Calibri" w:cs="Times New Roman"/>
          <w:bCs/>
          <w:color w:val="767171"/>
          <w:sz w:val="26"/>
          <w:szCs w:val="26"/>
          <w:lang w:eastAsia="es-ES"/>
        </w:rPr>
        <w:t>al no constar escrito mediante el cual previamente a la interposición del proceso, la autoridad demandada hubiere dado respuesta a la petición del actor presentada el día</w:t>
      </w:r>
      <w:r w:rsidRPr="00A8347C">
        <w:rPr>
          <w:rFonts w:ascii="Calibri" w:eastAsia="Times New Roman" w:hAnsi="Calibri" w:cs="Calibri"/>
          <w:color w:val="767171"/>
          <w:sz w:val="26"/>
          <w:szCs w:val="26"/>
          <w:lang w:eastAsia="es-ES"/>
        </w:rPr>
        <w:t xml:space="preserve"> 27 veintisiete de octubre del año 2015 dos mil quince; según se advierte del sello de recibido del organismo operador del agua potable en el municipio; (petición cuyo original obra en el secreto de este Juzgado y es visible en el expediente en copia certificada, a foja 3 tres). . . . . . . . . . . . . . . . . . . . . . . . . . . . . . . . . . . . . . . . . . . . . . . . . </w:t>
      </w:r>
    </w:p>
    <w:p w:rsidR="00A8347C" w:rsidRPr="00A8347C" w:rsidRDefault="00A8347C" w:rsidP="00A8347C">
      <w:pPr>
        <w:spacing w:after="0" w:line="240" w:lineRule="auto"/>
        <w:ind w:firstLine="708"/>
        <w:jc w:val="both"/>
        <w:rPr>
          <w:rFonts w:ascii="Calibri" w:eastAsia="Times New Roman" w:hAnsi="Calibri" w:cs="Calibri"/>
          <w:color w:val="767171"/>
          <w:sz w:val="26"/>
          <w:szCs w:val="26"/>
          <w:lang w:eastAsia="es-ES"/>
        </w:rPr>
      </w:pPr>
    </w:p>
    <w:p w:rsidR="00A8347C" w:rsidRPr="00A8347C" w:rsidRDefault="00A8347C" w:rsidP="00A8347C">
      <w:pPr>
        <w:spacing w:after="0" w:line="240" w:lineRule="auto"/>
        <w:ind w:firstLine="708"/>
        <w:jc w:val="both"/>
        <w:rPr>
          <w:rFonts w:ascii="Calibri" w:eastAsia="Times New Roman" w:hAnsi="Calibri" w:cs="Calibri"/>
          <w:bCs/>
          <w:color w:val="767171"/>
          <w:sz w:val="26"/>
          <w:szCs w:val="26"/>
          <w:lang w:eastAsia="es-ES"/>
        </w:rPr>
      </w:pPr>
      <w:r w:rsidRPr="00A8347C">
        <w:rPr>
          <w:rFonts w:ascii="Calibri" w:eastAsia="Times New Roman" w:hAnsi="Calibri" w:cs="Calibri"/>
          <w:bCs/>
          <w:color w:val="767171"/>
          <w:sz w:val="26"/>
          <w:szCs w:val="26"/>
          <w:lang w:eastAsia="es-ES"/>
        </w:rPr>
        <w:t xml:space="preserve">No obstante lo anterior, resulta necesario señalar que en el presente proceso, la negativa ficta dejó de tener efectos, desde el momento en que la autoridad enjuiciada, al contestar la demanda en fecha 6 seis de julio del 2017 dos mil diecisiete, dio respuesta a la petición del justiciable, en el sentido de que la información que refirió en los puntos números 1 uno al 5 cinco, de su escrito, podía </w:t>
      </w:r>
      <w:r w:rsidRPr="00A8347C">
        <w:rPr>
          <w:rFonts w:ascii="Calibri" w:eastAsia="Times New Roman" w:hAnsi="Calibri" w:cs="Calibri"/>
          <w:bCs/>
          <w:color w:val="767171"/>
          <w:sz w:val="26"/>
          <w:szCs w:val="26"/>
          <w:lang w:eastAsia="es-ES"/>
        </w:rPr>
        <w:lastRenderedPageBreak/>
        <w:t xml:space="preserve">solicitarla en la Unidad de Transparencia del propio Sistema de Agua Potable y Alcantarillado de León, Guanajuato; mediante escrito dirigido al Consejo Directivo de Sistema de Agua Potable y Alcantarillado de León, o a su Director General, o bien, ingresando al portal del sitio: </w:t>
      </w:r>
      <w:hyperlink r:id="rId4" w:history="1">
        <w:r w:rsidRPr="00A8347C">
          <w:rPr>
            <w:rFonts w:ascii="Calibri" w:eastAsia="Times New Roman" w:hAnsi="Calibri" w:cs="Calibri"/>
            <w:bCs/>
            <w:color w:val="767171"/>
            <w:sz w:val="26"/>
            <w:u w:val="single"/>
            <w:lang w:eastAsia="es-ES"/>
          </w:rPr>
          <w:t>www.sapal.gob.mx</w:t>
        </w:r>
      </w:hyperlink>
      <w:r w:rsidRPr="00A8347C">
        <w:rPr>
          <w:rFonts w:ascii="Calibri" w:eastAsia="Times New Roman" w:hAnsi="Calibri" w:cs="Calibri"/>
          <w:bCs/>
          <w:color w:val="767171"/>
          <w:sz w:val="26"/>
          <w:szCs w:val="26"/>
          <w:lang w:eastAsia="es-ES"/>
        </w:rPr>
        <w:t xml:space="preserve">; y respecto de las explicaciones formas y apreciaciones personales del actor en cuanto al uso y distribución del recurso hídrico, podía también dirigirse por escrito al Consejo Directivo de Sistema de Agua Potable y Alcantarillado de León o bien, al Director General. . . . . . . . . . . . . . . . . . . . . . . . . . . . . . . . . . . . . </w:t>
      </w:r>
      <w:r w:rsidRPr="00A8347C">
        <w:rPr>
          <w:rFonts w:ascii="Calibri" w:eastAsia="Times New Roman" w:hAnsi="Calibri" w:cs="Calibri"/>
          <w:color w:val="767171"/>
          <w:sz w:val="26"/>
          <w:szCs w:val="26"/>
          <w:lang w:eastAsia="es-ES"/>
        </w:rPr>
        <w:t>. . . . . . . . . .</w:t>
      </w:r>
    </w:p>
    <w:p w:rsidR="00A8347C" w:rsidRPr="00A8347C" w:rsidRDefault="00A8347C" w:rsidP="00A8347C">
      <w:pPr>
        <w:spacing w:after="0" w:line="240" w:lineRule="auto"/>
        <w:ind w:firstLine="708"/>
        <w:jc w:val="both"/>
        <w:rPr>
          <w:rFonts w:ascii="Calibri" w:eastAsia="Times New Roman" w:hAnsi="Calibri" w:cs="Calibri"/>
          <w:bCs/>
          <w:color w:val="767171"/>
          <w:sz w:val="26"/>
          <w:szCs w:val="26"/>
          <w:lang w:eastAsia="es-ES"/>
        </w:rPr>
      </w:pPr>
    </w:p>
    <w:p w:rsidR="00A8347C" w:rsidRPr="00A8347C" w:rsidRDefault="00A8347C" w:rsidP="00A8347C">
      <w:pPr>
        <w:spacing w:after="0" w:line="240" w:lineRule="auto"/>
        <w:ind w:firstLine="708"/>
        <w:jc w:val="both"/>
        <w:rPr>
          <w:rFonts w:ascii="Calibri" w:eastAsia="Times New Roman" w:hAnsi="Calibri" w:cs="Calibri"/>
          <w:bCs/>
          <w:color w:val="767171"/>
          <w:sz w:val="26"/>
          <w:szCs w:val="26"/>
          <w:lang w:eastAsia="es-ES"/>
        </w:rPr>
      </w:pPr>
      <w:r w:rsidRPr="00A8347C">
        <w:rPr>
          <w:rFonts w:ascii="Calibri" w:eastAsia="Times New Roman" w:hAnsi="Calibri" w:cs="Calibri"/>
          <w:bCs/>
          <w:color w:val="767171"/>
          <w:sz w:val="26"/>
          <w:szCs w:val="26"/>
          <w:lang w:eastAsia="es-ES"/>
        </w:rPr>
        <w:t xml:space="preserve">En tanto que en el escrito de ampliación de demanda, el actor señaló que la autoridad demandada pretende eludir la responsabilidad que le atañe de cumplir con su deber; ya que la petición se le hizo como vocal integrante del Consejo Directivo de Sistema de Agua Potable y Alcantarillado de León; por lo que al no contestar en el término de 10 diez días, se actualizó la negativa ficta hecha valer. . . . . . . . . . . . . . . . . . . . . . . . . . . . . . . . . . . . . . . . . . . . . . . . . . . . . . . . . . . </w:t>
      </w:r>
    </w:p>
    <w:p w:rsidR="00A8347C" w:rsidRPr="00A8347C" w:rsidRDefault="00A8347C" w:rsidP="00A8347C">
      <w:pPr>
        <w:spacing w:after="0" w:line="240" w:lineRule="auto"/>
        <w:jc w:val="both"/>
        <w:rPr>
          <w:rFonts w:ascii="Calibri" w:eastAsia="Times New Roman" w:hAnsi="Calibri" w:cs="Calibri"/>
          <w:bCs/>
          <w:color w:val="767171"/>
          <w:sz w:val="26"/>
          <w:szCs w:val="26"/>
          <w:lang w:eastAsia="es-ES"/>
        </w:rPr>
      </w:pPr>
    </w:p>
    <w:p w:rsidR="00A8347C" w:rsidRPr="00A8347C" w:rsidRDefault="00A8347C" w:rsidP="00A8347C">
      <w:pPr>
        <w:spacing w:after="0" w:line="240" w:lineRule="auto"/>
        <w:ind w:firstLine="708"/>
        <w:jc w:val="both"/>
        <w:rPr>
          <w:rFonts w:ascii="Calibri" w:eastAsia="Times New Roman" w:hAnsi="Calibri" w:cs="Calibri"/>
          <w:color w:val="767171"/>
          <w:szCs w:val="26"/>
          <w:lang w:eastAsia="es-ES"/>
        </w:rPr>
      </w:pPr>
      <w:r w:rsidRPr="00A8347C">
        <w:rPr>
          <w:rFonts w:ascii="Calibri" w:eastAsia="Times New Roman" w:hAnsi="Calibri" w:cs="Times New Roman"/>
          <w:color w:val="767171"/>
          <w:sz w:val="26"/>
          <w:szCs w:val="27"/>
          <w:lang w:eastAsia="es-ES"/>
        </w:rPr>
        <w:t xml:space="preserve">En razón de lo antepuesto, el </w:t>
      </w:r>
      <w:r w:rsidRPr="00A8347C">
        <w:rPr>
          <w:rFonts w:ascii="Calibri" w:eastAsia="Times New Roman" w:hAnsi="Calibri" w:cs="Times New Roman"/>
          <w:color w:val="767171"/>
          <w:sz w:val="26"/>
          <w:szCs w:val="27"/>
          <w:u w:val="single"/>
          <w:lang w:eastAsia="es-ES"/>
        </w:rPr>
        <w:t xml:space="preserve">acto materia de la </w:t>
      </w:r>
      <w:r w:rsidRPr="00A8347C">
        <w:rPr>
          <w:rFonts w:ascii="Calibri" w:eastAsia="Times New Roman" w:hAnsi="Calibri" w:cs="Times New Roman"/>
          <w:i/>
          <w:color w:val="767171"/>
          <w:sz w:val="26"/>
          <w:szCs w:val="27"/>
          <w:u w:val="single"/>
          <w:lang w:eastAsia="es-ES"/>
        </w:rPr>
        <w:t>“litis”</w:t>
      </w:r>
      <w:r w:rsidRPr="00A8347C">
        <w:rPr>
          <w:rFonts w:ascii="Calibri" w:eastAsia="Times New Roman" w:hAnsi="Calibri" w:cs="Times New Roman"/>
          <w:color w:val="767171"/>
          <w:sz w:val="26"/>
          <w:szCs w:val="27"/>
          <w:lang w:eastAsia="es-ES"/>
        </w:rPr>
        <w:t xml:space="preserve"> en el presente proceso, lo constituye </w:t>
      </w:r>
      <w:r w:rsidRPr="00A8347C">
        <w:rPr>
          <w:rFonts w:ascii="Calibri" w:eastAsia="Times New Roman" w:hAnsi="Calibri" w:cs="Times New Roman"/>
          <w:color w:val="767171"/>
          <w:sz w:val="26"/>
          <w:szCs w:val="27"/>
          <w:u w:val="single"/>
          <w:lang w:eastAsia="es-ES"/>
        </w:rPr>
        <w:t>la respuesta emitida</w:t>
      </w:r>
      <w:r w:rsidRPr="00A8347C">
        <w:rPr>
          <w:rFonts w:ascii="Calibri" w:eastAsia="Times New Roman" w:hAnsi="Calibri" w:cs="Times New Roman"/>
          <w:color w:val="767171"/>
          <w:sz w:val="26"/>
          <w:szCs w:val="27"/>
          <w:lang w:eastAsia="es-ES"/>
        </w:rPr>
        <w:t xml:space="preserve"> por el Síndico Segundo del Ayuntamiento y Consejero del Sistema de Agua Potable y Alcantarillado de León, Guanajuato; y de la que tuvo conocimiento el actor, en la fecha en que se le notificó el acuerdo del día 11 once de julio de este año, por el que se tuvo por contestando la demanda; notificación que fue practicada al propio actor el día 13 trece de julio del 2017 dos mil diecisiete; respuesta de la que se tiene por debidamente acreditada su existencia, misma que obra en autos a fojas 14 catorce y 15 quince del expediente del presente proceso;  y que se encuentra contenida en el escrito de contestación de demanda. . . . . . . . . . . . . . . . . . . . . . . . . </w:t>
      </w:r>
    </w:p>
    <w:p w:rsidR="00A8347C" w:rsidRPr="00A8347C" w:rsidRDefault="00A8347C" w:rsidP="00A8347C">
      <w:pPr>
        <w:spacing w:after="0" w:line="240" w:lineRule="auto"/>
        <w:jc w:val="both"/>
        <w:rPr>
          <w:rFonts w:ascii="Calibri" w:eastAsia="Times New Roman" w:hAnsi="Calibri" w:cs="Calibri"/>
          <w:color w:val="767171"/>
          <w:szCs w:val="26"/>
          <w:lang w:eastAsia="es-ES"/>
        </w:rPr>
      </w:pPr>
    </w:p>
    <w:p w:rsidR="00A8347C" w:rsidRPr="00A8347C" w:rsidRDefault="00A8347C" w:rsidP="00A8347C">
      <w:pPr>
        <w:spacing w:after="0" w:line="240" w:lineRule="auto"/>
        <w:ind w:firstLine="708"/>
        <w:jc w:val="both"/>
        <w:rPr>
          <w:rFonts w:ascii="Calibri" w:eastAsia="Times New Roman" w:hAnsi="Calibri" w:cs="Calibri"/>
          <w:color w:val="767171"/>
          <w:sz w:val="26"/>
          <w:szCs w:val="26"/>
          <w:lang w:val="es-ES" w:eastAsia="es-ES"/>
        </w:rPr>
      </w:pPr>
      <w:r w:rsidRPr="00A8347C">
        <w:rPr>
          <w:rFonts w:ascii="Calibri" w:eastAsia="Times New Roman" w:hAnsi="Calibri" w:cs="Calibri"/>
          <w:b/>
          <w:bCs/>
          <w:i/>
          <w:iCs/>
          <w:color w:val="767171"/>
          <w:sz w:val="26"/>
          <w:szCs w:val="26"/>
          <w:lang w:val="es-ES" w:eastAsia="es-ES"/>
        </w:rPr>
        <w:t xml:space="preserve">CUARTO.- </w:t>
      </w:r>
      <w:r w:rsidRPr="00A8347C">
        <w:rPr>
          <w:rFonts w:ascii="Calibri" w:eastAsia="Times New Roman" w:hAnsi="Calibri" w:cs="Calibri"/>
          <w:color w:val="767171"/>
          <w:sz w:val="26"/>
          <w:szCs w:val="26"/>
          <w:lang w:val="es-ES" w:eastAsia="es-ES"/>
        </w:rPr>
        <w:t xml:space="preserve">Por cuestión de </w:t>
      </w:r>
      <w:r w:rsidRPr="00A8347C">
        <w:rPr>
          <w:rFonts w:ascii="Calibri" w:eastAsia="Times New Roman" w:hAnsi="Calibri" w:cs="Calibri"/>
          <w:b/>
          <w:color w:val="767171"/>
          <w:sz w:val="26"/>
          <w:szCs w:val="26"/>
          <w:lang w:val="es-ES" w:eastAsia="es-ES"/>
        </w:rPr>
        <w:t xml:space="preserve">orden público </w:t>
      </w:r>
      <w:r w:rsidRPr="00A8347C">
        <w:rPr>
          <w:rFonts w:ascii="Calibri" w:eastAsia="Times New Roman" w:hAnsi="Calibri" w:cs="Calibri"/>
          <w:color w:val="767171"/>
          <w:sz w:val="26"/>
          <w:szCs w:val="26"/>
          <w:lang w:val="es-ES" w:eastAsia="es-ES"/>
        </w:rPr>
        <w:t xml:space="preserve">y, por ende, de estudio preferente, sea que las partes las hagan valer o que de oficio se adviertan, se procede al análisis de las causales de improcedencia y sobreseimiento previstas en el Código de Procedimiento y Justicia Administrativa para el Estado y los Municipios de Guanajuato. . . . . . . . . . . . . . . . . . . . . . . . . . . . . . . . . . . . . . . . . . . . . . . </w:t>
      </w:r>
    </w:p>
    <w:p w:rsidR="00A8347C" w:rsidRPr="00A8347C" w:rsidRDefault="00A8347C" w:rsidP="00A8347C">
      <w:pPr>
        <w:spacing w:after="0" w:line="240" w:lineRule="auto"/>
        <w:jc w:val="both"/>
        <w:rPr>
          <w:rFonts w:ascii="Calibri" w:eastAsia="Times New Roman" w:hAnsi="Calibri" w:cs="Calibri"/>
          <w:color w:val="767171"/>
          <w:szCs w:val="26"/>
          <w:lang w:eastAsia="es-ES"/>
        </w:rPr>
      </w:pPr>
    </w:p>
    <w:p w:rsidR="00A8347C" w:rsidRPr="00A8347C" w:rsidRDefault="00A8347C" w:rsidP="00A8347C">
      <w:pPr>
        <w:spacing w:after="0" w:line="240" w:lineRule="auto"/>
        <w:ind w:firstLine="708"/>
        <w:jc w:val="both"/>
        <w:rPr>
          <w:rFonts w:ascii="Calibri" w:eastAsia="Times New Roman" w:hAnsi="Calibri" w:cs="Calibri"/>
          <w:color w:val="767171"/>
          <w:sz w:val="26"/>
          <w:szCs w:val="26"/>
          <w:lang w:eastAsia="es-ES"/>
        </w:rPr>
      </w:pPr>
      <w:r w:rsidRPr="00A8347C">
        <w:rPr>
          <w:rFonts w:ascii="Calibri" w:eastAsia="Times New Roman" w:hAnsi="Calibri" w:cs="Calibri"/>
          <w:color w:val="767171"/>
          <w:sz w:val="26"/>
          <w:szCs w:val="26"/>
          <w:lang w:eastAsia="es-ES"/>
        </w:rPr>
        <w:t xml:space="preserve">En la especie, en la presente causa administrativa, la autoridad demandada hizo valer 2 dos causales de improcedencia; en específico, las previstas en las fracciones I y VII del artículo 261 del Código de Procedimiento y Justicia Administrativa para el Estado y los Municipios de Guanajuato, al considerar que la parte actora no expuso de manera alguna como es que se vulneraría su interés jurídico, en el supuesto de no recibir la información solicitada; así como que respecto de la fracción VII de ese mismo ordenamiento; refiere que se actualiza porque en su función del Consejero de Sistema de Agua Potable y Alcantarillado de </w:t>
      </w:r>
      <w:r w:rsidRPr="00A8347C">
        <w:rPr>
          <w:rFonts w:ascii="Calibri" w:eastAsia="Times New Roman" w:hAnsi="Calibri" w:cs="Calibri"/>
          <w:color w:val="767171"/>
          <w:sz w:val="26"/>
          <w:szCs w:val="26"/>
          <w:lang w:eastAsia="es-ES"/>
        </w:rPr>
        <w:lastRenderedPageBreak/>
        <w:t xml:space="preserve">León, no es una autoridad de dicho organismo, que pueda ser demandado, sino que el organismo es representado por su Presidente Secretario o Tesorero. . . . . . . . . . . . . . . . . . . . . . . . . . . . . . . . . . . . . . . . . . . . . . . . . . . </w:t>
      </w:r>
    </w:p>
    <w:p w:rsidR="00A8347C" w:rsidRPr="00A8347C" w:rsidRDefault="00A8347C" w:rsidP="00A8347C">
      <w:pPr>
        <w:spacing w:after="0" w:line="240" w:lineRule="auto"/>
        <w:ind w:firstLine="708"/>
        <w:jc w:val="both"/>
        <w:rPr>
          <w:rFonts w:ascii="Calibri" w:eastAsia="Times New Roman" w:hAnsi="Calibri" w:cs="Calibri"/>
          <w:color w:val="767171"/>
          <w:sz w:val="26"/>
          <w:szCs w:val="26"/>
          <w:lang w:eastAsia="es-ES"/>
        </w:rPr>
      </w:pPr>
    </w:p>
    <w:p w:rsidR="00A8347C" w:rsidRPr="00A8347C" w:rsidRDefault="00A8347C" w:rsidP="00A8347C">
      <w:pPr>
        <w:spacing w:after="0" w:line="240" w:lineRule="auto"/>
        <w:ind w:firstLine="708"/>
        <w:jc w:val="both"/>
        <w:rPr>
          <w:rFonts w:ascii="Calibri" w:eastAsia="Times New Roman" w:hAnsi="Calibri" w:cs="Calibri"/>
          <w:color w:val="767171"/>
          <w:sz w:val="26"/>
          <w:szCs w:val="26"/>
          <w:lang w:eastAsia="es-ES"/>
        </w:rPr>
      </w:pPr>
      <w:r w:rsidRPr="00A8347C">
        <w:rPr>
          <w:rFonts w:ascii="Calibri" w:eastAsia="Times New Roman" w:hAnsi="Calibri" w:cs="Calibri"/>
          <w:color w:val="767171"/>
          <w:sz w:val="26"/>
          <w:szCs w:val="26"/>
          <w:lang w:eastAsia="es-ES"/>
        </w:rPr>
        <w:t xml:space="preserve">Causales que </w:t>
      </w:r>
      <w:r w:rsidRPr="00A8347C">
        <w:rPr>
          <w:rFonts w:ascii="Calibri" w:eastAsia="Times New Roman" w:hAnsi="Calibri" w:cs="Calibri"/>
          <w:b/>
          <w:color w:val="767171"/>
          <w:sz w:val="26"/>
          <w:szCs w:val="26"/>
          <w:lang w:eastAsia="es-ES"/>
        </w:rPr>
        <w:t>no se actualizan en el presente asunto</w:t>
      </w:r>
      <w:r w:rsidRPr="00A8347C">
        <w:rPr>
          <w:rFonts w:ascii="Calibri" w:eastAsia="Times New Roman" w:hAnsi="Calibri" w:cs="Calibri"/>
          <w:color w:val="767171"/>
          <w:sz w:val="26"/>
          <w:szCs w:val="26"/>
          <w:lang w:eastAsia="es-ES"/>
        </w:rPr>
        <w:t xml:space="preserve">, toda vez que, desde luego hay una afectación al interés jurídico del actor, al no haberse cumplido con el derecho subjetivo previsto en el artículo 5 de la Ley Orgánica Municipal para el Estado de Guanajuato, en el sentido de que a toda petición debe recaer una respuesta en el tiempo marcado en la ley; por otra parte, si bien es cierto, como lo afirma el demandado, que él en lo individual no es una autoridad del Sistema de Agua Potable y Alcantarillado de León, cierto es también que como servidor público debe observar lo dispuesto por el ya citado artículo 5; de ahí que como Síndico Segundo del Ayuntamiento y Consejero del Sistema de Agua Potable y Alcantarillado de León, su intervención debe limitarse a brindar  una respuesta a lo pedido por el actor; lo que en el caso se dio, como se ha señalado; es por lo expuesto que no se actualizan las causales invocadas por el demandante. . . . . . . . </w:t>
      </w:r>
    </w:p>
    <w:p w:rsidR="00A8347C" w:rsidRPr="00A8347C" w:rsidRDefault="00A8347C" w:rsidP="00A8347C">
      <w:pPr>
        <w:spacing w:after="0" w:line="240" w:lineRule="auto"/>
        <w:ind w:firstLine="708"/>
        <w:jc w:val="both"/>
        <w:rPr>
          <w:rFonts w:ascii="Calibri" w:eastAsia="Times New Roman" w:hAnsi="Calibri" w:cs="Calibri"/>
          <w:color w:val="767171"/>
          <w:sz w:val="26"/>
          <w:szCs w:val="26"/>
          <w:lang w:eastAsia="es-ES"/>
        </w:rPr>
      </w:pPr>
    </w:p>
    <w:p w:rsidR="00A8347C" w:rsidRPr="00A8347C" w:rsidRDefault="00A8347C" w:rsidP="00A8347C">
      <w:pPr>
        <w:spacing w:after="0" w:line="240" w:lineRule="auto"/>
        <w:ind w:firstLine="708"/>
        <w:jc w:val="both"/>
        <w:rPr>
          <w:rFonts w:ascii="Calibri" w:eastAsia="Times New Roman" w:hAnsi="Calibri" w:cs="Calibri"/>
          <w:color w:val="767171"/>
          <w:sz w:val="26"/>
          <w:szCs w:val="26"/>
          <w:lang w:eastAsia="es-ES"/>
        </w:rPr>
      </w:pPr>
      <w:r w:rsidRPr="00A8347C">
        <w:rPr>
          <w:rFonts w:ascii="Calibri" w:eastAsia="Times New Roman" w:hAnsi="Calibri" w:cs="Calibri"/>
          <w:color w:val="767171"/>
          <w:sz w:val="26"/>
          <w:szCs w:val="26"/>
          <w:lang w:eastAsia="es-ES"/>
        </w:rPr>
        <w:t xml:space="preserve">A lo anterior debe agregarse que no debe olvidarse, que la negativa ficta sí se configuró inicialmente, pues como se ha indicado en el considerando inmediato anterior, a la fecha en que se promovió la demanda; no se había dado la respuesta o no se había hecho del conocimiento del actor; lo que ocurrió hasta que se le notificó la contestación de demanda. . . . . . . . . . . . . . . . . . . . . . . . . . . . . . </w:t>
      </w:r>
    </w:p>
    <w:p w:rsidR="00A8347C" w:rsidRPr="00A8347C" w:rsidRDefault="00A8347C" w:rsidP="00A8347C">
      <w:pPr>
        <w:spacing w:after="0" w:line="240" w:lineRule="auto"/>
        <w:jc w:val="both"/>
        <w:rPr>
          <w:rFonts w:ascii="Calibri" w:eastAsia="Times New Roman" w:hAnsi="Calibri" w:cs="Calibri"/>
          <w:color w:val="767171"/>
          <w:sz w:val="26"/>
          <w:szCs w:val="26"/>
          <w:lang w:eastAsia="es-ES"/>
        </w:rPr>
      </w:pPr>
    </w:p>
    <w:p w:rsidR="00A8347C" w:rsidRPr="00A8347C" w:rsidRDefault="00A8347C" w:rsidP="00A8347C">
      <w:pPr>
        <w:spacing w:after="0" w:line="240" w:lineRule="auto"/>
        <w:jc w:val="right"/>
        <w:rPr>
          <w:rFonts w:ascii="Calibri" w:eastAsia="Times New Roman" w:hAnsi="Calibri" w:cs="Calibri"/>
          <w:b/>
          <w:bCs/>
          <w:iCs/>
          <w:color w:val="767171"/>
          <w:sz w:val="26"/>
          <w:szCs w:val="26"/>
          <w:lang w:eastAsia="es-ES"/>
        </w:rPr>
      </w:pPr>
      <w:r w:rsidRPr="00A8347C">
        <w:rPr>
          <w:rFonts w:ascii="Calibri" w:eastAsia="Times New Roman" w:hAnsi="Calibri" w:cs="Calibri"/>
          <w:b/>
          <w:bCs/>
          <w:iCs/>
          <w:color w:val="767171"/>
          <w:sz w:val="26"/>
          <w:szCs w:val="26"/>
          <w:lang w:eastAsia="es-ES"/>
        </w:rPr>
        <w:t>Expediente número 66</w:t>
      </w:r>
      <w:r w:rsidRPr="00A8347C">
        <w:rPr>
          <w:rFonts w:ascii="Calibri" w:eastAsia="Times New Roman" w:hAnsi="Calibri" w:cs="Calibri"/>
          <w:b/>
          <w:color w:val="767171"/>
          <w:sz w:val="26"/>
          <w:szCs w:val="26"/>
          <w:lang w:eastAsia="es-ES"/>
        </w:rPr>
        <w:t>2</w:t>
      </w:r>
      <w:r w:rsidRPr="00A8347C">
        <w:rPr>
          <w:rFonts w:ascii="Calibri" w:eastAsia="Times New Roman" w:hAnsi="Calibri" w:cs="Calibri"/>
          <w:b/>
          <w:bCs/>
          <w:iCs/>
          <w:color w:val="767171"/>
          <w:sz w:val="26"/>
          <w:szCs w:val="26"/>
          <w:lang w:eastAsia="es-ES"/>
        </w:rPr>
        <w:t>/2doJAM/2017</w:t>
      </w:r>
      <w:r w:rsidRPr="00A8347C">
        <w:rPr>
          <w:rFonts w:ascii="Calibri" w:eastAsia="Times New Roman" w:hAnsi="Calibri" w:cs="Calibri"/>
          <w:b/>
          <w:iCs/>
          <w:color w:val="767171"/>
          <w:sz w:val="26"/>
          <w:szCs w:val="26"/>
          <w:lang w:eastAsia="es-ES"/>
        </w:rPr>
        <w:t>-JN</w:t>
      </w:r>
    </w:p>
    <w:p w:rsidR="00A8347C" w:rsidRPr="00A8347C" w:rsidRDefault="00A8347C" w:rsidP="00A8347C">
      <w:pPr>
        <w:spacing w:after="0" w:line="240" w:lineRule="auto"/>
        <w:jc w:val="both"/>
        <w:rPr>
          <w:rFonts w:ascii="Calibri" w:eastAsia="Times New Roman" w:hAnsi="Calibri" w:cs="Calibri"/>
          <w:color w:val="767171"/>
          <w:sz w:val="26"/>
          <w:szCs w:val="26"/>
          <w:lang w:eastAsia="es-ES"/>
        </w:rPr>
      </w:pPr>
    </w:p>
    <w:p w:rsidR="00A8347C" w:rsidRPr="00A8347C" w:rsidRDefault="00A8347C" w:rsidP="00A8347C">
      <w:pPr>
        <w:spacing w:after="0" w:line="240" w:lineRule="auto"/>
        <w:ind w:firstLine="708"/>
        <w:jc w:val="both"/>
        <w:rPr>
          <w:rFonts w:ascii="Calibri" w:eastAsia="Times New Roman" w:hAnsi="Calibri" w:cs="Times New Roman"/>
          <w:color w:val="767171"/>
          <w:sz w:val="26"/>
          <w:szCs w:val="27"/>
          <w:lang w:eastAsia="es-ES"/>
        </w:rPr>
      </w:pPr>
      <w:r w:rsidRPr="00A8347C">
        <w:rPr>
          <w:rFonts w:ascii="Calibri" w:eastAsia="Times New Roman" w:hAnsi="Calibri" w:cs="Calibri"/>
          <w:color w:val="767171"/>
          <w:sz w:val="26"/>
          <w:szCs w:val="26"/>
          <w:lang w:eastAsia="es-ES"/>
        </w:rPr>
        <w:t xml:space="preserve">Finalmente, al no haber procedido las causales señaladas, y no advertirse </w:t>
      </w:r>
      <w:r w:rsidRPr="00A8347C">
        <w:rPr>
          <w:rFonts w:ascii="Calibri" w:eastAsia="Times New Roman" w:hAnsi="Calibri" w:cs="Times New Roman"/>
          <w:color w:val="767171"/>
          <w:sz w:val="26"/>
          <w:szCs w:val="27"/>
          <w:lang w:eastAsia="es-ES"/>
        </w:rPr>
        <w:t xml:space="preserve">de oficio por este Juzgador, alguna causa de improcedencia o sobreseimiento que impida el estudio de fondo de la presente causa administrativa; resulta procedente el presente proceso en cuanto a la respuesta expresa dada a la petición formulada por la parte actora. . . . . . . . . . . . . . . . . . . . . . . . . . . . . . . . . . . . . </w:t>
      </w:r>
    </w:p>
    <w:p w:rsidR="00A8347C" w:rsidRPr="00A8347C" w:rsidRDefault="00A8347C" w:rsidP="00A8347C">
      <w:pPr>
        <w:spacing w:after="0" w:line="240" w:lineRule="auto"/>
        <w:ind w:firstLine="708"/>
        <w:jc w:val="both"/>
        <w:rPr>
          <w:rFonts w:ascii="Calibri" w:eastAsia="Times New Roman" w:hAnsi="Calibri" w:cs="Calibri"/>
          <w:color w:val="767171"/>
          <w:sz w:val="26"/>
          <w:szCs w:val="26"/>
          <w:lang w:val="es-ES" w:eastAsia="es-ES"/>
        </w:rPr>
      </w:pPr>
    </w:p>
    <w:p w:rsidR="00A8347C" w:rsidRPr="00A8347C" w:rsidRDefault="00A8347C" w:rsidP="00A8347C">
      <w:pPr>
        <w:spacing w:after="0" w:line="240" w:lineRule="auto"/>
        <w:ind w:firstLine="708"/>
        <w:jc w:val="both"/>
        <w:rPr>
          <w:rFonts w:ascii="Calibri" w:eastAsia="Times New Roman" w:hAnsi="Calibri" w:cs="Calibri"/>
          <w:color w:val="767171"/>
          <w:sz w:val="26"/>
          <w:szCs w:val="26"/>
          <w:lang w:val="es-ES" w:eastAsia="es-ES"/>
        </w:rPr>
      </w:pPr>
      <w:r w:rsidRPr="00A8347C">
        <w:rPr>
          <w:rFonts w:ascii="Calibri" w:eastAsia="Times New Roman" w:hAnsi="Calibri" w:cs="Calibri"/>
          <w:b/>
          <w:bCs/>
          <w:i/>
          <w:iCs/>
          <w:color w:val="767171"/>
          <w:sz w:val="26"/>
          <w:szCs w:val="26"/>
          <w:lang w:val="es-ES" w:eastAsia="es-ES"/>
        </w:rPr>
        <w:t xml:space="preserve">QUINTO.- </w:t>
      </w:r>
      <w:r w:rsidRPr="00A8347C">
        <w:rPr>
          <w:rFonts w:ascii="Calibri" w:eastAsia="Times New Roman" w:hAnsi="Calibri" w:cs="Calibri"/>
          <w:color w:val="767171"/>
          <w:sz w:val="26"/>
          <w:szCs w:val="26"/>
          <w:lang w:val="es-ES" w:eastAsia="es-ES"/>
        </w:rPr>
        <w:t xml:space="preserve">Este Juzgador, en cumplimiento a lo establecido en la fracción I del artículo 299 del Código de Procedimiento y Justicia Administrativa para el Estado y los Municipios de Guanajuato, procede a fijar clara y precisamente los puntos controvertidos en la presente causa administrativa. . . . . . . . . . . . . . . . . . . . </w:t>
      </w:r>
    </w:p>
    <w:p w:rsidR="00A8347C" w:rsidRPr="00A8347C" w:rsidRDefault="00A8347C" w:rsidP="00A8347C">
      <w:pPr>
        <w:spacing w:after="0" w:line="240" w:lineRule="auto"/>
        <w:ind w:firstLine="708"/>
        <w:jc w:val="both"/>
        <w:rPr>
          <w:rFonts w:ascii="Calibri" w:eastAsia="Times New Roman" w:hAnsi="Calibri" w:cs="Calibri"/>
          <w:color w:val="767171"/>
          <w:sz w:val="26"/>
          <w:szCs w:val="26"/>
          <w:lang w:val="es-ES" w:eastAsia="es-ES"/>
        </w:rPr>
      </w:pPr>
    </w:p>
    <w:p w:rsidR="00A8347C" w:rsidRPr="00A8347C" w:rsidRDefault="00A8347C" w:rsidP="00A8347C">
      <w:pPr>
        <w:spacing w:after="0" w:line="240" w:lineRule="auto"/>
        <w:ind w:firstLine="708"/>
        <w:jc w:val="both"/>
        <w:rPr>
          <w:rFonts w:ascii="Calibri" w:eastAsia="Times New Roman" w:hAnsi="Calibri" w:cs="Times New Roman"/>
          <w:color w:val="767171"/>
          <w:sz w:val="26"/>
          <w:szCs w:val="27"/>
          <w:lang w:val="es-ES" w:eastAsia="es-ES"/>
        </w:rPr>
      </w:pPr>
      <w:r w:rsidRPr="00A8347C">
        <w:rPr>
          <w:rFonts w:ascii="Calibri" w:eastAsia="Times New Roman" w:hAnsi="Calibri" w:cs="Calibri"/>
          <w:color w:val="767171"/>
          <w:sz w:val="26"/>
          <w:szCs w:val="26"/>
          <w:lang w:val="es-ES" w:eastAsia="es-ES"/>
        </w:rPr>
        <w:t xml:space="preserve">De lo expuesto por el actor en su escrito de demanda, así como de las constancias que integran la presente causa administrativa, se desprende que el justiciable, mediante escrito presentado el día 27 veintisiete de octubre del año 2015 dos mil quince presentó en el Sistema de Agua Potable y Alcantarillado de </w:t>
      </w:r>
      <w:r w:rsidRPr="00A8347C">
        <w:rPr>
          <w:rFonts w:ascii="Calibri" w:eastAsia="Times New Roman" w:hAnsi="Calibri" w:cs="Calibri"/>
          <w:color w:val="767171"/>
          <w:sz w:val="26"/>
          <w:szCs w:val="26"/>
          <w:lang w:val="es-ES" w:eastAsia="es-ES"/>
        </w:rPr>
        <w:lastRenderedPageBreak/>
        <w:t xml:space="preserve">León, Guanajuato, un escrito dirigido al Licenciado *****, en su carácter de Consejero de Sistema de Agua Potable y Alcantarillado de León, en el que le solicitó </w:t>
      </w:r>
      <w:r w:rsidRPr="00A8347C">
        <w:rPr>
          <w:rFonts w:ascii="Calibri" w:eastAsia="Times New Roman" w:hAnsi="Calibri" w:cs="Times New Roman"/>
          <w:color w:val="767171"/>
          <w:sz w:val="26"/>
          <w:szCs w:val="27"/>
          <w:lang w:val="es-ES" w:eastAsia="es-ES"/>
        </w:rPr>
        <w:t xml:space="preserve">le informara el porcentaje de cobertura de servicios en relación con la población total del Municipio; de qué forma se intenta cumplir con los principios de proporcionalidad, justicia y equidad; en qué forma se promueve la cultura del consumo racional del agua; porcentaje de sus ingresos destinados a la expansión de la cobertura del servicio; así como el dictamen de eficacia sobre cumplimientos legales, del organismo operador del agua potable. . . . . . . . . . . . . . </w:t>
      </w:r>
    </w:p>
    <w:p w:rsidR="00A8347C" w:rsidRPr="00A8347C" w:rsidRDefault="00A8347C" w:rsidP="00A8347C">
      <w:pPr>
        <w:spacing w:after="0" w:line="240" w:lineRule="auto"/>
        <w:ind w:firstLine="708"/>
        <w:jc w:val="both"/>
        <w:rPr>
          <w:rFonts w:ascii="Calibri" w:eastAsia="Times New Roman" w:hAnsi="Calibri" w:cs="Times New Roman"/>
          <w:color w:val="767171"/>
          <w:sz w:val="26"/>
          <w:szCs w:val="27"/>
          <w:lang w:val="es-ES" w:eastAsia="es-ES"/>
        </w:rPr>
      </w:pPr>
    </w:p>
    <w:p w:rsidR="00A8347C" w:rsidRPr="00A8347C" w:rsidRDefault="00A8347C" w:rsidP="00A8347C">
      <w:pPr>
        <w:spacing w:after="0" w:line="240" w:lineRule="auto"/>
        <w:ind w:firstLine="708"/>
        <w:jc w:val="both"/>
        <w:rPr>
          <w:rFonts w:ascii="Calibri" w:eastAsia="Times New Roman" w:hAnsi="Calibri" w:cs="Calibri"/>
          <w:color w:val="767171"/>
          <w:sz w:val="26"/>
          <w:szCs w:val="26"/>
          <w:lang w:val="es-ES" w:eastAsia="es-ES"/>
        </w:rPr>
      </w:pPr>
      <w:r w:rsidRPr="00A8347C">
        <w:rPr>
          <w:rFonts w:ascii="Calibri" w:eastAsia="Times New Roman" w:hAnsi="Calibri" w:cs="Calibri"/>
          <w:color w:val="767171"/>
          <w:sz w:val="26"/>
          <w:szCs w:val="26"/>
          <w:lang w:val="es-ES" w:eastAsia="es-ES"/>
        </w:rPr>
        <w:t xml:space="preserve">Siendo que al día 16 dieciséis de junio del presente año, fecha en que interpuso su demanda, refirió el actor, que no se le había dado respuesta. . . . . . . </w:t>
      </w:r>
    </w:p>
    <w:p w:rsidR="00A8347C" w:rsidRPr="00A8347C" w:rsidRDefault="00A8347C" w:rsidP="00A8347C">
      <w:pPr>
        <w:spacing w:after="0" w:line="240" w:lineRule="auto"/>
        <w:ind w:firstLine="708"/>
        <w:jc w:val="both"/>
        <w:rPr>
          <w:rFonts w:ascii="Calibri" w:eastAsia="Times New Roman" w:hAnsi="Calibri" w:cs="Calibri"/>
          <w:color w:val="767171"/>
          <w:szCs w:val="26"/>
          <w:lang w:val="es-ES" w:eastAsia="es-ES"/>
        </w:rPr>
      </w:pPr>
    </w:p>
    <w:p w:rsidR="00A8347C" w:rsidRPr="00A8347C" w:rsidRDefault="00A8347C" w:rsidP="00A8347C">
      <w:pPr>
        <w:spacing w:after="0" w:line="240" w:lineRule="auto"/>
        <w:ind w:firstLine="708"/>
        <w:jc w:val="both"/>
        <w:rPr>
          <w:rFonts w:ascii="Calibri" w:eastAsia="Times New Roman" w:hAnsi="Calibri" w:cs="Calibri"/>
          <w:bCs/>
          <w:color w:val="767171"/>
          <w:sz w:val="26"/>
          <w:szCs w:val="26"/>
          <w:lang w:eastAsia="es-ES"/>
        </w:rPr>
      </w:pPr>
      <w:r w:rsidRPr="00A8347C">
        <w:rPr>
          <w:rFonts w:ascii="Calibri" w:eastAsia="Times New Roman" w:hAnsi="Calibri" w:cs="Calibri"/>
          <w:color w:val="767171"/>
          <w:sz w:val="26"/>
          <w:szCs w:val="26"/>
          <w:lang w:eastAsia="es-ES"/>
        </w:rPr>
        <w:t xml:space="preserve">Así las cosas, al no haberse dado respuesta a lo solicitado por el actor, éste promovió en esa misma fecha, el presente proceso administrativo respecto a la negativa ficta; constituyendo tal aspecto el punto controvertido inicialmente en la presente causa administrativa; sin embargo es de resaltar que conforme a lo establecido en el segundo párrafo del artículo 282 del Código de Procedimiento y Justicia Administrativo para el Estado y los Municipios de Guanajuato, tratándose de una resolución de negativa ficta, </w:t>
      </w:r>
      <w:r w:rsidRPr="00A8347C">
        <w:rPr>
          <w:rFonts w:ascii="Calibri" w:eastAsia="Times New Roman" w:hAnsi="Calibri" w:cs="Calibri"/>
          <w:b/>
          <w:color w:val="767171"/>
          <w:sz w:val="26"/>
          <w:szCs w:val="26"/>
          <w:lang w:eastAsia="es-ES"/>
        </w:rPr>
        <w:t>es en la contestación de demanda, el momento procesal oportuno para que la autoridad funde y motive aquélla</w:t>
      </w:r>
      <w:r w:rsidRPr="00A8347C">
        <w:rPr>
          <w:rFonts w:ascii="Calibri" w:eastAsia="Times New Roman" w:hAnsi="Calibri" w:cs="Calibri"/>
          <w:color w:val="767171"/>
          <w:sz w:val="26"/>
          <w:szCs w:val="26"/>
          <w:lang w:eastAsia="es-ES"/>
        </w:rPr>
        <w:t>; lo que en la especie se dio, toda vez que la autoridad demandada, en su contestación de demanda, dio respuesta a la petición del actor, en el sentido de que</w:t>
      </w:r>
      <w:r w:rsidRPr="00A8347C">
        <w:rPr>
          <w:rFonts w:ascii="Calibri" w:eastAsia="Times New Roman" w:hAnsi="Calibri" w:cs="Calibri"/>
          <w:bCs/>
          <w:color w:val="767171"/>
          <w:sz w:val="26"/>
          <w:szCs w:val="26"/>
          <w:lang w:eastAsia="es-ES"/>
        </w:rPr>
        <w:t xml:space="preserve"> la información que refirió en los puntos números 1 uno al 5 cinco, de su escrito, podía solicitarla en la Unidad de Transparencia del propio organismo (Sistema de Agua Potable y Alcantarillado de León, Guanajuato; mediante escrito dirigido al Consejo Directivo de Sistema de Agua Potable y Alcantarillado de León, o a su Director General, o bien, accesando al portal del sitio: </w:t>
      </w:r>
      <w:hyperlink r:id="rId5" w:history="1">
        <w:r w:rsidRPr="00A8347C">
          <w:rPr>
            <w:rFonts w:ascii="Calibri" w:eastAsia="Times New Roman" w:hAnsi="Calibri" w:cs="Calibri"/>
            <w:bCs/>
            <w:color w:val="767171"/>
            <w:sz w:val="26"/>
            <w:u w:val="single"/>
            <w:lang w:eastAsia="es-ES"/>
          </w:rPr>
          <w:t>www.sapal.gob.mx</w:t>
        </w:r>
      </w:hyperlink>
      <w:r w:rsidRPr="00A8347C">
        <w:rPr>
          <w:rFonts w:ascii="Calibri" w:eastAsia="Times New Roman" w:hAnsi="Calibri" w:cs="Calibri"/>
          <w:bCs/>
          <w:color w:val="767171"/>
          <w:sz w:val="26"/>
          <w:szCs w:val="26"/>
          <w:lang w:eastAsia="es-ES"/>
        </w:rPr>
        <w:t xml:space="preserve">; y respecto de las explicaciones formas y apreciaciones personales del actor en cuanto al uso y distribución del recurso hídrico, podía también dirigirse por escrito al Consejo Directivo de Sistema de Agua Potable y Alcantarillado de León o bien, al Director General del mismo. . . . . . . . . . . . . . . . . . . . . . . . . . . . . . . . . . . . . . </w:t>
      </w:r>
    </w:p>
    <w:p w:rsidR="00A8347C" w:rsidRPr="00A8347C" w:rsidRDefault="00A8347C" w:rsidP="00A8347C">
      <w:pPr>
        <w:spacing w:after="0" w:line="240" w:lineRule="auto"/>
        <w:ind w:firstLine="708"/>
        <w:jc w:val="both"/>
        <w:rPr>
          <w:rFonts w:ascii="Calibri" w:eastAsia="Times New Roman" w:hAnsi="Calibri" w:cs="Calibri"/>
          <w:bCs/>
          <w:color w:val="767171"/>
          <w:sz w:val="26"/>
          <w:szCs w:val="26"/>
          <w:lang w:eastAsia="es-ES"/>
        </w:rPr>
      </w:pPr>
    </w:p>
    <w:p w:rsidR="00A8347C" w:rsidRPr="00A8347C" w:rsidRDefault="00A8347C" w:rsidP="00A8347C">
      <w:pPr>
        <w:spacing w:after="0" w:line="240" w:lineRule="auto"/>
        <w:ind w:firstLine="708"/>
        <w:jc w:val="both"/>
        <w:rPr>
          <w:rFonts w:ascii="Calibri" w:eastAsia="Times New Roman" w:hAnsi="Calibri" w:cs="Calibri"/>
          <w:color w:val="767171"/>
          <w:sz w:val="26"/>
          <w:szCs w:val="26"/>
          <w:lang w:eastAsia="es-ES"/>
        </w:rPr>
      </w:pPr>
      <w:r w:rsidRPr="00A8347C">
        <w:rPr>
          <w:rFonts w:ascii="Calibri" w:eastAsia="Times New Roman" w:hAnsi="Calibri" w:cs="Calibri"/>
          <w:color w:val="767171"/>
          <w:sz w:val="26"/>
          <w:szCs w:val="26"/>
          <w:lang w:eastAsia="es-ES"/>
        </w:rPr>
        <w:t xml:space="preserve">En virtud de lo anterior, la parte actora amplió su demanda en contra de dicha respuesta, argumentando en la ampliación en lo sustancial,  que </w:t>
      </w:r>
      <w:r w:rsidRPr="00A8347C">
        <w:rPr>
          <w:rFonts w:ascii="Calibri" w:eastAsia="Times New Roman" w:hAnsi="Calibri" w:cs="Calibri"/>
          <w:bCs/>
          <w:color w:val="767171"/>
          <w:sz w:val="26"/>
          <w:szCs w:val="26"/>
          <w:lang w:eastAsia="es-ES"/>
        </w:rPr>
        <w:t xml:space="preserve">la autoridad pretende eludir la responsabilidad que le atañe de cumplir con su deber; ya que la petición se le hizo como vocal integrante del Consejo Directivo de Sistema de Agua Potable y Alcantarillado de León; por lo que al no contestar en el término de 10 diez días, se actualizó la negativa ficta hecha valer. . . . . . . . . . </w:t>
      </w:r>
    </w:p>
    <w:p w:rsidR="00A8347C" w:rsidRPr="00A8347C" w:rsidRDefault="00A8347C" w:rsidP="00A8347C">
      <w:pPr>
        <w:spacing w:after="0" w:line="240" w:lineRule="auto"/>
        <w:jc w:val="both"/>
        <w:rPr>
          <w:rFonts w:ascii="Calibri" w:eastAsia="Times New Roman" w:hAnsi="Calibri" w:cs="Calibri"/>
          <w:bCs/>
          <w:color w:val="767171"/>
          <w:sz w:val="26"/>
          <w:szCs w:val="26"/>
          <w:lang w:eastAsia="es-ES"/>
        </w:rPr>
      </w:pPr>
    </w:p>
    <w:p w:rsidR="00A8347C" w:rsidRPr="00A8347C" w:rsidRDefault="00A8347C" w:rsidP="00A8347C">
      <w:pPr>
        <w:spacing w:after="0" w:line="240" w:lineRule="auto"/>
        <w:ind w:firstLine="708"/>
        <w:jc w:val="both"/>
        <w:rPr>
          <w:rFonts w:ascii="Calibri" w:eastAsia="Times New Roman" w:hAnsi="Calibri" w:cs="Calibri"/>
          <w:b/>
          <w:bCs/>
          <w:iCs/>
          <w:color w:val="767171"/>
          <w:sz w:val="26"/>
          <w:szCs w:val="26"/>
          <w:lang w:eastAsia="es-ES"/>
        </w:rPr>
      </w:pPr>
      <w:r w:rsidRPr="00A8347C">
        <w:rPr>
          <w:rFonts w:ascii="Calibri" w:eastAsia="Times New Roman" w:hAnsi="Calibri" w:cs="Calibri"/>
          <w:bCs/>
          <w:color w:val="767171"/>
          <w:sz w:val="26"/>
          <w:szCs w:val="26"/>
          <w:lang w:eastAsia="es-ES"/>
        </w:rPr>
        <w:t xml:space="preserve">Por su parte, el enjuiciado expresó en su contestación a la ampliación, que carecen de razón en sus argumentos y que si dio respuesta a lo peticionado. . . . . </w:t>
      </w:r>
    </w:p>
    <w:p w:rsidR="00A8347C" w:rsidRPr="00A8347C" w:rsidRDefault="00A8347C" w:rsidP="00A8347C">
      <w:pPr>
        <w:spacing w:after="0" w:line="240" w:lineRule="auto"/>
        <w:jc w:val="both"/>
        <w:rPr>
          <w:rFonts w:ascii="Calibri" w:eastAsia="Times New Roman" w:hAnsi="Calibri" w:cs="Calibri"/>
          <w:bCs/>
          <w:color w:val="767171"/>
          <w:sz w:val="26"/>
          <w:szCs w:val="26"/>
          <w:lang w:eastAsia="es-ES"/>
        </w:rPr>
      </w:pPr>
    </w:p>
    <w:p w:rsidR="00A8347C" w:rsidRPr="00A8347C" w:rsidRDefault="00A8347C" w:rsidP="00A8347C">
      <w:pPr>
        <w:spacing w:after="0" w:line="240" w:lineRule="auto"/>
        <w:ind w:firstLine="708"/>
        <w:jc w:val="both"/>
        <w:rPr>
          <w:rFonts w:ascii="Calibri" w:eastAsia="Times New Roman" w:hAnsi="Calibri" w:cs="Calibri"/>
          <w:color w:val="767171"/>
          <w:sz w:val="26"/>
          <w:szCs w:val="26"/>
          <w:lang w:val="es-ES" w:eastAsia="es-ES"/>
        </w:rPr>
      </w:pPr>
      <w:r w:rsidRPr="00A8347C">
        <w:rPr>
          <w:rFonts w:ascii="Calibri" w:eastAsia="Times New Roman" w:hAnsi="Calibri" w:cs="Calibri"/>
          <w:color w:val="767171"/>
          <w:sz w:val="26"/>
          <w:szCs w:val="26"/>
          <w:lang w:val="es-ES" w:eastAsia="es-ES"/>
        </w:rPr>
        <w:t xml:space="preserve">De esta manera, la “litis” en la presente causa administrativa estriba en determinar la legalidad o no de la respuesta, contenida en la contestación de demanda, dada a la petición formulada por el actor. . . . . . . . . . . . . . . . . . . . . . . . . . </w:t>
      </w:r>
    </w:p>
    <w:p w:rsidR="00A8347C" w:rsidRPr="00A8347C" w:rsidRDefault="00A8347C" w:rsidP="00A8347C">
      <w:pPr>
        <w:spacing w:after="0" w:line="240" w:lineRule="auto"/>
        <w:ind w:firstLine="708"/>
        <w:jc w:val="both"/>
        <w:rPr>
          <w:rFonts w:ascii="Calibri" w:eastAsia="Times New Roman" w:hAnsi="Calibri" w:cs="Calibri"/>
          <w:color w:val="767171"/>
          <w:szCs w:val="26"/>
          <w:lang w:val="es-ES" w:eastAsia="es-ES"/>
        </w:rPr>
      </w:pPr>
    </w:p>
    <w:p w:rsidR="00A8347C" w:rsidRPr="00A8347C" w:rsidRDefault="00A8347C" w:rsidP="00A8347C">
      <w:pPr>
        <w:spacing w:after="0" w:line="240" w:lineRule="auto"/>
        <w:ind w:firstLine="708"/>
        <w:jc w:val="both"/>
        <w:rPr>
          <w:rFonts w:ascii="Calibri" w:eastAsia="Times New Roman" w:hAnsi="Calibri" w:cs="Calibri"/>
          <w:color w:val="767171"/>
          <w:sz w:val="26"/>
          <w:szCs w:val="26"/>
          <w:lang w:eastAsia="es-ES"/>
        </w:rPr>
      </w:pPr>
      <w:r w:rsidRPr="00A8347C">
        <w:rPr>
          <w:rFonts w:ascii="Calibri" w:eastAsia="Times New Roman" w:hAnsi="Calibri" w:cs="Calibri"/>
          <w:b/>
          <w:bCs/>
          <w:i/>
          <w:iCs/>
          <w:color w:val="767171"/>
          <w:sz w:val="26"/>
          <w:szCs w:val="26"/>
          <w:lang w:eastAsia="es-ES"/>
        </w:rPr>
        <w:t xml:space="preserve">SEXTO.- </w:t>
      </w:r>
      <w:r w:rsidRPr="00A8347C">
        <w:rPr>
          <w:rFonts w:ascii="Calibri" w:eastAsia="Times New Roman" w:hAnsi="Calibri" w:cs="Calibri"/>
          <w:color w:val="767171"/>
          <w:sz w:val="26"/>
          <w:szCs w:val="26"/>
          <w:lang w:eastAsia="es-ES"/>
        </w:rPr>
        <w:t xml:space="preserve"> No existiendo impedimento legal para entrar al estudio del fondo del negocio; es necesario en principio dejar establecido que, siendo la figura jurídica de la </w:t>
      </w:r>
      <w:r w:rsidRPr="00A8347C">
        <w:rPr>
          <w:rFonts w:ascii="Calibri" w:eastAsia="Times New Roman" w:hAnsi="Calibri" w:cs="Calibri"/>
          <w:i/>
          <w:color w:val="767171"/>
          <w:sz w:val="26"/>
          <w:szCs w:val="26"/>
          <w:lang w:eastAsia="es-ES"/>
        </w:rPr>
        <w:t>“negativa ficta”</w:t>
      </w:r>
      <w:r w:rsidRPr="00A8347C">
        <w:rPr>
          <w:rFonts w:ascii="Calibri" w:eastAsia="Times New Roman" w:hAnsi="Calibri" w:cs="Calibri"/>
          <w:color w:val="767171"/>
          <w:sz w:val="26"/>
          <w:szCs w:val="26"/>
          <w:lang w:eastAsia="es-ES"/>
        </w:rPr>
        <w:t xml:space="preserve"> una ficción legal; cuando la misma llega a configurarse, debe entenderse que la solicitud planteada ante la autoridad -que no ha dado respuesta en el término de Ley-, se resuelve de manera negativa a los intereses del solicitante y de la que, obviamente, se ignoran sus fundamentos y motivos; ya que, no es sino hasta que se produzca la contestación, en este caso, de la demanda, cuando la demandada debe dar a conocer las razones y fundamentos de la negativa o bien da respuesta a lo solicitado; en virtud de lo cual, ya con pleno conocimiento de los motivos y fundamentos autoritarios, el actor deberá expresar en su escrito de ampliación de demanda los conceptos de impugnación en contra de esa contestación; así las cosas, se concluye que la “litis” sobre la que tendría que versar la resolución, se integra con la negativa ficta, el escrito de interposición del proceso administrativo, la contestación, la ampliación y la contestación a la misma. . . . . . . . . . . . . . . . . . . . . . . . . . . . . . . . . . . . </w:t>
      </w:r>
    </w:p>
    <w:p w:rsidR="00A8347C" w:rsidRPr="00A8347C" w:rsidRDefault="00A8347C" w:rsidP="00A8347C">
      <w:pPr>
        <w:spacing w:after="0" w:line="240" w:lineRule="auto"/>
        <w:jc w:val="both"/>
        <w:rPr>
          <w:rFonts w:ascii="Calibri" w:eastAsia="Times New Roman" w:hAnsi="Calibri" w:cs="Calibri"/>
          <w:color w:val="767171"/>
          <w:szCs w:val="26"/>
          <w:lang w:eastAsia="es-ES"/>
        </w:rPr>
      </w:pPr>
    </w:p>
    <w:p w:rsidR="00A8347C" w:rsidRPr="00A8347C" w:rsidRDefault="00A8347C" w:rsidP="00A8347C">
      <w:pPr>
        <w:spacing w:after="0" w:line="240" w:lineRule="auto"/>
        <w:ind w:firstLine="708"/>
        <w:jc w:val="both"/>
        <w:rPr>
          <w:rFonts w:ascii="Calibri" w:eastAsia="Times New Roman" w:hAnsi="Calibri" w:cs="Calibri"/>
          <w:bCs/>
          <w:iCs/>
          <w:color w:val="767171"/>
          <w:sz w:val="26"/>
          <w:szCs w:val="26"/>
          <w:lang w:eastAsia="es-ES"/>
        </w:rPr>
      </w:pPr>
      <w:r w:rsidRPr="00A8347C">
        <w:rPr>
          <w:rFonts w:ascii="Calibri" w:eastAsia="Times New Roman" w:hAnsi="Calibri" w:cs="Calibri"/>
          <w:color w:val="767171"/>
          <w:sz w:val="26"/>
          <w:szCs w:val="26"/>
          <w:lang w:eastAsia="es-ES"/>
        </w:rPr>
        <w:t xml:space="preserve">En este sentido, se procede al análisis del concepto de impugnación planteado por el actor en su escrito de ampliación de demanda; sin ser necesario trascribirlo en su totalidad, de acuerdo al siguiente criterio que se transcribe, </w:t>
      </w:r>
      <w:r w:rsidRPr="00A8347C">
        <w:rPr>
          <w:rFonts w:ascii="Calibri" w:eastAsia="Times New Roman" w:hAnsi="Calibri" w:cs="Calibri"/>
          <w:bCs/>
          <w:iCs/>
          <w:color w:val="767171"/>
          <w:sz w:val="26"/>
          <w:szCs w:val="26"/>
          <w:lang w:eastAsia="es-ES"/>
        </w:rPr>
        <w:t xml:space="preserve">sostenido por el Tribunal Colegiado de Circuito mencionado en la siguiente Jurisprudencia:. . . . . . . . . . . . . . . . . . . . . . . . . . . . . . . . . . . . . . . . . . . . . . . . . . . . . . . . </w:t>
      </w:r>
    </w:p>
    <w:p w:rsidR="00A8347C" w:rsidRPr="00A8347C" w:rsidRDefault="00A8347C" w:rsidP="00A8347C">
      <w:pPr>
        <w:spacing w:after="0" w:line="240" w:lineRule="auto"/>
        <w:ind w:firstLine="708"/>
        <w:jc w:val="both"/>
        <w:rPr>
          <w:rFonts w:ascii="Calibri" w:eastAsia="Times New Roman" w:hAnsi="Calibri" w:cs="Calibri"/>
          <w:bCs/>
          <w:iCs/>
          <w:color w:val="767171"/>
          <w:sz w:val="20"/>
          <w:szCs w:val="20"/>
          <w:lang w:eastAsia="es-ES"/>
        </w:rPr>
      </w:pPr>
    </w:p>
    <w:p w:rsidR="00A8347C" w:rsidRPr="00A8347C" w:rsidRDefault="00A8347C" w:rsidP="00A8347C">
      <w:pPr>
        <w:spacing w:after="0" w:line="240" w:lineRule="auto"/>
        <w:ind w:firstLine="708"/>
        <w:jc w:val="both"/>
        <w:rPr>
          <w:rFonts w:ascii="Calibri" w:eastAsia="Times New Roman" w:hAnsi="Calibri" w:cs="Calibri"/>
          <w:bCs/>
          <w:i/>
          <w:iCs/>
          <w:color w:val="767171"/>
          <w:sz w:val="26"/>
          <w:szCs w:val="26"/>
          <w:lang w:eastAsia="es-ES"/>
        </w:rPr>
      </w:pPr>
      <w:r w:rsidRPr="00A8347C">
        <w:rPr>
          <w:rFonts w:ascii="Calibri" w:eastAsia="Times New Roman" w:hAnsi="Calibri" w:cs="Calibri"/>
          <w:bCs/>
          <w:i/>
          <w:iCs/>
          <w:color w:val="767171"/>
          <w:sz w:val="26"/>
          <w:szCs w:val="26"/>
          <w:lang w:eastAsia="es-ES"/>
        </w:rPr>
        <w:t>“</w:t>
      </w:r>
      <w:r w:rsidRPr="00A8347C">
        <w:rPr>
          <w:rFonts w:ascii="Calibri" w:eastAsia="Times New Roman" w:hAnsi="Calibri" w:cs="Calibri"/>
          <w:b/>
          <w:bCs/>
          <w:i/>
          <w:iCs/>
          <w:color w:val="767171"/>
          <w:sz w:val="26"/>
          <w:szCs w:val="26"/>
          <w:lang w:eastAsia="es-ES"/>
        </w:rPr>
        <w:t>CONCEPTOS DE VIOLACIÓN. EL JUEZ NO ESTÁ OBLIGADO A TRANSCRIBIRLOS</w:t>
      </w:r>
      <w:r w:rsidRPr="00A8347C">
        <w:rPr>
          <w:rFonts w:ascii="Calibri" w:eastAsia="Times New Roman" w:hAnsi="Calibri" w:cs="Calibri"/>
          <w:bCs/>
          <w:i/>
          <w:iCs/>
          <w:color w:val="767171"/>
          <w:sz w:val="26"/>
          <w:szCs w:val="26"/>
          <w:lang w:eastAsia="es-ES"/>
        </w:rPr>
        <w:t xml:space="preserve">. 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p>
    <w:p w:rsidR="00A8347C" w:rsidRPr="00A8347C" w:rsidRDefault="00A8347C" w:rsidP="00A8347C">
      <w:pPr>
        <w:spacing w:after="0" w:line="240" w:lineRule="auto"/>
        <w:ind w:firstLine="708"/>
        <w:jc w:val="both"/>
        <w:rPr>
          <w:rFonts w:ascii="Calibri" w:eastAsia="Times New Roman" w:hAnsi="Calibri" w:cs="Calibri"/>
          <w:bCs/>
          <w:i/>
          <w:iCs/>
          <w:color w:val="767171"/>
          <w:sz w:val="26"/>
          <w:szCs w:val="26"/>
          <w:lang w:eastAsia="es-ES"/>
        </w:rPr>
      </w:pPr>
    </w:p>
    <w:p w:rsidR="00A8347C" w:rsidRPr="00A8347C" w:rsidRDefault="00A8347C" w:rsidP="00A8347C">
      <w:pPr>
        <w:spacing w:after="0" w:line="240" w:lineRule="auto"/>
        <w:jc w:val="right"/>
        <w:rPr>
          <w:rFonts w:ascii="Calibri" w:eastAsia="Times New Roman" w:hAnsi="Calibri" w:cs="Calibri"/>
          <w:b/>
          <w:bCs/>
          <w:iCs/>
          <w:color w:val="767171"/>
          <w:sz w:val="26"/>
          <w:szCs w:val="26"/>
          <w:lang w:eastAsia="es-ES"/>
        </w:rPr>
      </w:pPr>
      <w:r w:rsidRPr="00A8347C">
        <w:rPr>
          <w:rFonts w:ascii="Calibri" w:eastAsia="Times New Roman" w:hAnsi="Calibri" w:cs="Calibri"/>
          <w:b/>
          <w:bCs/>
          <w:iCs/>
          <w:color w:val="767171"/>
          <w:sz w:val="26"/>
          <w:szCs w:val="26"/>
          <w:lang w:eastAsia="es-ES"/>
        </w:rPr>
        <w:t>Expediente número 66</w:t>
      </w:r>
      <w:r w:rsidRPr="00A8347C">
        <w:rPr>
          <w:rFonts w:ascii="Calibri" w:eastAsia="Times New Roman" w:hAnsi="Calibri" w:cs="Calibri"/>
          <w:b/>
          <w:color w:val="767171"/>
          <w:sz w:val="26"/>
          <w:szCs w:val="26"/>
          <w:lang w:eastAsia="es-ES"/>
        </w:rPr>
        <w:t>2</w:t>
      </w:r>
      <w:r w:rsidRPr="00A8347C">
        <w:rPr>
          <w:rFonts w:ascii="Calibri" w:eastAsia="Times New Roman" w:hAnsi="Calibri" w:cs="Calibri"/>
          <w:b/>
          <w:bCs/>
          <w:iCs/>
          <w:color w:val="767171"/>
          <w:sz w:val="26"/>
          <w:szCs w:val="26"/>
          <w:lang w:eastAsia="es-ES"/>
        </w:rPr>
        <w:t>/2doJAM/2017</w:t>
      </w:r>
      <w:r w:rsidRPr="00A8347C">
        <w:rPr>
          <w:rFonts w:ascii="Calibri" w:eastAsia="Times New Roman" w:hAnsi="Calibri" w:cs="Calibri"/>
          <w:b/>
          <w:iCs/>
          <w:color w:val="767171"/>
          <w:sz w:val="26"/>
          <w:szCs w:val="26"/>
          <w:lang w:eastAsia="es-ES"/>
        </w:rPr>
        <w:t>-JN</w:t>
      </w:r>
    </w:p>
    <w:p w:rsidR="00A8347C" w:rsidRPr="00A8347C" w:rsidRDefault="00A8347C" w:rsidP="00A8347C">
      <w:pPr>
        <w:spacing w:after="0" w:line="240" w:lineRule="auto"/>
        <w:ind w:firstLine="708"/>
        <w:jc w:val="both"/>
        <w:rPr>
          <w:rFonts w:ascii="Calibri" w:eastAsia="Times New Roman" w:hAnsi="Calibri" w:cs="Calibri"/>
          <w:bCs/>
          <w:i/>
          <w:iCs/>
          <w:color w:val="767171"/>
          <w:lang w:eastAsia="es-ES"/>
        </w:rPr>
      </w:pPr>
    </w:p>
    <w:p w:rsidR="00A8347C" w:rsidRPr="00A8347C" w:rsidRDefault="00A8347C" w:rsidP="00A8347C">
      <w:pPr>
        <w:spacing w:after="0" w:line="240" w:lineRule="auto"/>
        <w:jc w:val="both"/>
        <w:rPr>
          <w:rFonts w:ascii="Calibri" w:eastAsia="Times New Roman" w:hAnsi="Calibri" w:cs="Calibri"/>
          <w:bCs/>
          <w:i/>
          <w:iCs/>
          <w:color w:val="767171"/>
          <w:lang w:eastAsia="es-ES"/>
        </w:rPr>
      </w:pPr>
      <w:r w:rsidRPr="00A8347C">
        <w:rPr>
          <w:rFonts w:ascii="Calibri" w:eastAsia="Times New Roman" w:hAnsi="Calibri" w:cs="Calibri"/>
          <w:bCs/>
          <w:i/>
          <w:iCs/>
          <w:color w:val="767171"/>
          <w:lang w:eastAsia="es-ES"/>
        </w:rPr>
        <w:t>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A8347C">
        <w:rPr>
          <w:rFonts w:ascii="Calibri" w:eastAsia="Times New Roman" w:hAnsi="Calibri" w:cs="Calibri"/>
          <w:b/>
          <w:bCs/>
          <w:i/>
          <w:iCs/>
          <w:color w:val="767171"/>
          <w:lang w:eastAsia="es-ES"/>
        </w:rPr>
        <w:t>”</w:t>
      </w:r>
      <w:r w:rsidRPr="00A8347C">
        <w:rPr>
          <w:rFonts w:ascii="Calibri" w:eastAsia="Times New Roman" w:hAnsi="Calibri" w:cs="Calibri"/>
          <w:bCs/>
          <w:iCs/>
          <w:color w:val="767171"/>
          <w:lang w:eastAsia="es-ES"/>
        </w:rPr>
        <w:t xml:space="preserve"> .</w:t>
      </w:r>
      <w:proofErr w:type="gramEnd"/>
      <w:r w:rsidRPr="00A8347C">
        <w:rPr>
          <w:rFonts w:ascii="Calibri" w:eastAsia="Times New Roman" w:hAnsi="Calibri" w:cs="Calibri"/>
          <w:bCs/>
          <w:iCs/>
          <w:color w:val="767171"/>
          <w:lang w:eastAsia="es-ES"/>
        </w:rPr>
        <w:t xml:space="preserve"> . . . . . . . . . . . . . . . . . . . . . . . . . . . . . . . . . . . . . . . . . . . . . . . . . . . . . . . . . . . . . . . . . . . . . . . . . . . . </w:t>
      </w:r>
    </w:p>
    <w:p w:rsidR="00A8347C" w:rsidRPr="00A8347C" w:rsidRDefault="00A8347C" w:rsidP="00A8347C">
      <w:pPr>
        <w:spacing w:after="0" w:line="240" w:lineRule="auto"/>
        <w:jc w:val="both"/>
        <w:rPr>
          <w:rFonts w:ascii="Calibri" w:eastAsia="Times New Roman" w:hAnsi="Calibri" w:cs="Calibri"/>
          <w:color w:val="767171"/>
          <w:szCs w:val="26"/>
          <w:lang w:eastAsia="es-ES"/>
        </w:rPr>
      </w:pPr>
    </w:p>
    <w:p w:rsidR="00A8347C" w:rsidRPr="00A8347C" w:rsidRDefault="00A8347C" w:rsidP="00A8347C">
      <w:pPr>
        <w:spacing w:after="0" w:line="240" w:lineRule="auto"/>
        <w:ind w:firstLine="708"/>
        <w:jc w:val="both"/>
        <w:rPr>
          <w:rFonts w:ascii="Calibri" w:eastAsia="Times New Roman" w:hAnsi="Calibri" w:cs="Calibri"/>
          <w:color w:val="767171"/>
          <w:sz w:val="26"/>
          <w:szCs w:val="26"/>
          <w:lang w:eastAsia="es-ES"/>
        </w:rPr>
      </w:pPr>
      <w:r w:rsidRPr="00A8347C">
        <w:rPr>
          <w:rFonts w:ascii="Calibri" w:eastAsia="Times New Roman" w:hAnsi="Calibri" w:cs="Calibri"/>
          <w:color w:val="767171"/>
          <w:sz w:val="26"/>
          <w:szCs w:val="26"/>
          <w:lang w:eastAsia="es-ES"/>
        </w:rPr>
        <w:t xml:space="preserve">Así las cosas, en el presente proceso administrativo, en el escrito de contestación de la demanda, el Síndico Segundo del Honorable Ayuntamiento de León, Guanajuato, refirió que la información referida en la petición, podía solicitarla mediante escrito dirigido al Consejo Directivo o al Director General del organismo; acudiendo a la unidad de transparencia del propio organismo o ingresando al portal de internet mencionado. . . . . . . . . . . . . . . . . . . . . . . . . . . . . . . </w:t>
      </w:r>
    </w:p>
    <w:p w:rsidR="00A8347C" w:rsidRPr="00A8347C" w:rsidRDefault="00A8347C" w:rsidP="00A8347C">
      <w:pPr>
        <w:spacing w:after="0" w:line="240" w:lineRule="auto"/>
        <w:jc w:val="both"/>
        <w:rPr>
          <w:rFonts w:ascii="Calibri" w:eastAsia="Times New Roman" w:hAnsi="Calibri" w:cs="Calibri"/>
          <w:color w:val="767171"/>
          <w:sz w:val="26"/>
          <w:szCs w:val="26"/>
          <w:lang w:eastAsia="es-ES"/>
        </w:rPr>
      </w:pPr>
    </w:p>
    <w:p w:rsidR="00A8347C" w:rsidRPr="00A8347C" w:rsidRDefault="00A8347C" w:rsidP="00A8347C">
      <w:pPr>
        <w:spacing w:after="0" w:line="240" w:lineRule="auto"/>
        <w:ind w:firstLine="708"/>
        <w:jc w:val="both"/>
        <w:rPr>
          <w:rFonts w:ascii="Calibri" w:eastAsia="Times New Roman" w:hAnsi="Calibri" w:cs="Calibri"/>
          <w:color w:val="767171"/>
          <w:sz w:val="26"/>
          <w:szCs w:val="26"/>
          <w:lang w:val="es-ES" w:eastAsia="es-ES"/>
        </w:rPr>
      </w:pPr>
      <w:r w:rsidRPr="00A8347C">
        <w:rPr>
          <w:rFonts w:ascii="Calibri" w:eastAsia="Times New Roman" w:hAnsi="Calibri" w:cs="Calibri"/>
          <w:color w:val="767171"/>
          <w:sz w:val="26"/>
          <w:szCs w:val="26"/>
          <w:lang w:val="es-ES" w:eastAsia="es-ES"/>
        </w:rPr>
        <w:t xml:space="preserve">En contra de esa respuesta, el actor, al ampliar su demanda, expresó básicamente que la autoridad demandada </w:t>
      </w:r>
      <w:r w:rsidRPr="00A8347C">
        <w:rPr>
          <w:rFonts w:ascii="Calibri" w:eastAsia="Times New Roman" w:hAnsi="Calibri" w:cs="Calibri"/>
          <w:bCs/>
          <w:color w:val="767171"/>
          <w:sz w:val="26"/>
          <w:szCs w:val="26"/>
          <w:lang w:val="es-ES" w:eastAsia="es-ES"/>
        </w:rPr>
        <w:t xml:space="preserve">pretendía eludir su responsabilidad de cumplir con su deber; ya que la petición se le hizo como vocal integrante del Consejo Directivo de Sistema de Agua Potable y Alcantarillado de León; por lo que al no contestar en el término de 10 diez días, se actualizó la negativa ficta hecha valer. . . . . . . . . . . . . . . . . . . . . . . . . . . . . . . . . . . . . . . . . . . . . . . . . . . . .  . . . . . . </w:t>
      </w:r>
    </w:p>
    <w:p w:rsidR="00A8347C" w:rsidRPr="00A8347C" w:rsidRDefault="00A8347C" w:rsidP="00A8347C">
      <w:pPr>
        <w:spacing w:after="0" w:line="240" w:lineRule="auto"/>
        <w:ind w:firstLine="708"/>
        <w:jc w:val="both"/>
        <w:rPr>
          <w:rFonts w:ascii="Calibri" w:eastAsia="Times New Roman" w:hAnsi="Calibri" w:cs="Calibri"/>
          <w:color w:val="767171"/>
          <w:sz w:val="26"/>
          <w:szCs w:val="26"/>
          <w:lang w:val="es-ES" w:eastAsia="es-ES"/>
        </w:rPr>
      </w:pPr>
    </w:p>
    <w:p w:rsidR="00A8347C" w:rsidRPr="00A8347C" w:rsidRDefault="00A8347C" w:rsidP="00A8347C">
      <w:pPr>
        <w:spacing w:after="0" w:line="240" w:lineRule="auto"/>
        <w:ind w:firstLine="708"/>
        <w:jc w:val="both"/>
        <w:rPr>
          <w:rFonts w:ascii="Calibri" w:eastAsia="Times New Roman" w:hAnsi="Calibri" w:cs="Calibri"/>
          <w:b/>
          <w:color w:val="767171"/>
          <w:sz w:val="26"/>
          <w:szCs w:val="26"/>
          <w:lang w:val="es-ES" w:eastAsia="es-ES"/>
        </w:rPr>
      </w:pPr>
      <w:r w:rsidRPr="00A8347C">
        <w:rPr>
          <w:rFonts w:ascii="Calibri" w:eastAsia="Times New Roman" w:hAnsi="Calibri" w:cs="Calibri"/>
          <w:color w:val="767171"/>
          <w:sz w:val="26"/>
          <w:szCs w:val="26"/>
          <w:lang w:val="es-ES" w:eastAsia="es-ES"/>
        </w:rPr>
        <w:t xml:space="preserve">Analizado que es lo argumentado por el actor en su escrito de ampliación de demanda, como concepto de impugnación, este resolutor lo considera </w:t>
      </w:r>
      <w:r w:rsidRPr="00A8347C">
        <w:rPr>
          <w:rFonts w:ascii="Calibri" w:eastAsia="Times New Roman" w:hAnsi="Calibri" w:cs="Calibri"/>
          <w:b/>
          <w:color w:val="767171"/>
          <w:sz w:val="26"/>
          <w:szCs w:val="26"/>
          <w:lang w:val="es-ES" w:eastAsia="es-ES"/>
        </w:rPr>
        <w:t>inoperante</w:t>
      </w:r>
      <w:r w:rsidRPr="00A8347C">
        <w:rPr>
          <w:rFonts w:ascii="Calibri" w:eastAsia="Times New Roman" w:hAnsi="Calibri" w:cs="Calibri"/>
          <w:color w:val="767171"/>
          <w:sz w:val="26"/>
          <w:szCs w:val="26"/>
          <w:lang w:val="es-ES" w:eastAsia="es-ES"/>
        </w:rPr>
        <w:t xml:space="preserve">; toda vez que en primer lugar, no se trata de un verdadero concepto de impugnación; entendiendo como tal, a la expresión razonada que el demandante debe realizar para demostrar jurídicamente que la resolución impugnada resulta violatoria de las disposiciones normativas, conculcando con ello sus derechos o intereses legítimos; sino que sólo expresó el acto, que la autoridad  no dio contestación dentro del término de ley a lo peticionado; por lo que es infundado lo aseverado por el actor en su escrito de ampliación, pues no controvirtió con argumentos lógico-jurídicos lo expresado por el demandado, en la respuesta dada a lo solicitado por el demandante. . . . . . . . . . . . . . . . . . . . . . . . . </w:t>
      </w:r>
    </w:p>
    <w:p w:rsidR="00A8347C" w:rsidRPr="00A8347C" w:rsidRDefault="00A8347C" w:rsidP="00A8347C">
      <w:pPr>
        <w:spacing w:after="0" w:line="240" w:lineRule="auto"/>
        <w:jc w:val="both"/>
        <w:rPr>
          <w:rFonts w:ascii="Calibri" w:eastAsia="Times New Roman" w:hAnsi="Calibri" w:cs="Calibri"/>
          <w:color w:val="767171"/>
          <w:sz w:val="26"/>
          <w:szCs w:val="26"/>
          <w:lang w:val="es-ES" w:eastAsia="es-ES"/>
        </w:rPr>
      </w:pPr>
    </w:p>
    <w:p w:rsidR="00A8347C" w:rsidRPr="00A8347C" w:rsidRDefault="00A8347C" w:rsidP="00A8347C">
      <w:pPr>
        <w:spacing w:after="0" w:line="240" w:lineRule="auto"/>
        <w:ind w:firstLine="708"/>
        <w:jc w:val="both"/>
        <w:rPr>
          <w:rFonts w:ascii="Calibri" w:eastAsia="Times New Roman" w:hAnsi="Calibri" w:cs="Calibri"/>
          <w:color w:val="767171"/>
          <w:sz w:val="26"/>
          <w:szCs w:val="26"/>
          <w:lang w:val="es-ES" w:eastAsia="es-ES"/>
        </w:rPr>
      </w:pPr>
      <w:r w:rsidRPr="00A8347C">
        <w:rPr>
          <w:rFonts w:ascii="Calibri" w:eastAsia="Times New Roman" w:hAnsi="Calibri" w:cs="Calibri"/>
          <w:color w:val="767171"/>
          <w:sz w:val="26"/>
          <w:szCs w:val="26"/>
          <w:lang w:val="es-ES" w:eastAsia="es-ES"/>
        </w:rPr>
        <w:t xml:space="preserve">A mayor abundamiento, la parte actora, al ya tener pleno conocimiento del sentido de la respuesta otorgada, debió haber expresado en su escrito de ampliación, los conceptos de impugnación que considerara le causaba esa contestación, controvirtiendo, con razonamientos lógico-jurídicos, los argumentos ahí vertidos; lo que en la especie </w:t>
      </w:r>
      <w:r w:rsidRPr="00A8347C">
        <w:rPr>
          <w:rFonts w:ascii="Calibri" w:eastAsia="Times New Roman" w:hAnsi="Calibri" w:cs="Calibri"/>
          <w:b/>
          <w:color w:val="767171"/>
          <w:sz w:val="26"/>
          <w:szCs w:val="26"/>
          <w:lang w:val="es-ES" w:eastAsia="es-ES"/>
        </w:rPr>
        <w:t>no se presentó</w:t>
      </w:r>
      <w:r w:rsidRPr="00A8347C">
        <w:rPr>
          <w:rFonts w:ascii="Calibri" w:eastAsia="Times New Roman" w:hAnsi="Calibri" w:cs="Calibri"/>
          <w:color w:val="767171"/>
          <w:sz w:val="26"/>
          <w:szCs w:val="26"/>
          <w:lang w:val="es-ES" w:eastAsia="es-ES"/>
        </w:rPr>
        <w:t>, ni justificó el porqué de la petición la formuló sólo a uno de los consejeros del Sistema de Agua Potable y Alcantarillado de León, quien, además no es el Presidente del Consejo de dicho organismo . . . . . . . . . . . . . . . . . . . . . . . . . . . . . . . . . . . . . . . . . . . . . . . . . . . .</w:t>
      </w:r>
    </w:p>
    <w:p w:rsidR="00A8347C" w:rsidRPr="00A8347C" w:rsidRDefault="00A8347C" w:rsidP="00A8347C">
      <w:pPr>
        <w:spacing w:after="0" w:line="240" w:lineRule="auto"/>
        <w:jc w:val="both"/>
        <w:rPr>
          <w:rFonts w:ascii="Calibri" w:eastAsia="Times New Roman" w:hAnsi="Calibri" w:cs="Calibri"/>
          <w:bCs/>
          <w:color w:val="767171"/>
          <w:sz w:val="26"/>
          <w:szCs w:val="26"/>
          <w:lang w:val="es-ES" w:eastAsia="es-ES"/>
        </w:rPr>
      </w:pPr>
    </w:p>
    <w:p w:rsidR="00A8347C" w:rsidRPr="00A8347C" w:rsidRDefault="00A8347C" w:rsidP="00A8347C">
      <w:pPr>
        <w:spacing w:after="0" w:line="240" w:lineRule="auto"/>
        <w:jc w:val="both"/>
        <w:rPr>
          <w:rFonts w:ascii="Calibri" w:eastAsia="Times New Roman" w:hAnsi="Calibri" w:cs="Calibri"/>
          <w:color w:val="767171"/>
          <w:sz w:val="26"/>
          <w:szCs w:val="26"/>
          <w:lang w:val="es-ES" w:eastAsia="es-ES"/>
        </w:rPr>
      </w:pPr>
      <w:r w:rsidRPr="00A8347C">
        <w:rPr>
          <w:rFonts w:ascii="Calibri" w:eastAsia="Times New Roman" w:hAnsi="Calibri" w:cs="Calibri"/>
          <w:bCs/>
          <w:color w:val="767171"/>
          <w:sz w:val="26"/>
          <w:szCs w:val="26"/>
          <w:lang w:val="es-ES" w:eastAsia="es-ES"/>
        </w:rPr>
        <w:tab/>
        <w:t xml:space="preserve">Independientemente de lo anterior, es menester el señalar que es obligación del justiciable señalar el perjuicio que le causa el acto impugnado, en este caso la respuesta dada a su petición, pues de lo contrario, se deja la carga al Juzgador de interpretar en qué consiste el agravio a estudiar, lo que, de acuerdo con la técnica jurídica que rige en el proceso administrativo, no es factible que éste realice, al ir </w:t>
      </w:r>
      <w:r w:rsidRPr="00A8347C">
        <w:rPr>
          <w:rFonts w:ascii="Calibri" w:eastAsia="Times New Roman" w:hAnsi="Calibri" w:cs="Calibri"/>
          <w:bCs/>
          <w:color w:val="767171"/>
          <w:sz w:val="26"/>
          <w:szCs w:val="26"/>
          <w:lang w:val="es-ES" w:eastAsia="es-ES"/>
        </w:rPr>
        <w:lastRenderedPageBreak/>
        <w:t xml:space="preserve">más allá del alcance que tiene la figura de atender a la causa de pedir; sin que ese requisito constituya un formalismo o rigorismo jurídico, toda vez que sólo se trata de una exigencia mínima que no lesiona la sustancia del derecho del acceso a la justicia, aunada la circunstancia de que este Juzgador advierte que, con la respuesta dada, no existe violación alguna a los derechos humanos del impetrante, pues es de advertirse que lo solicitado es materia de otra litis. . . . . . . . . . . . </w:t>
      </w:r>
      <w:r w:rsidRPr="00A8347C">
        <w:rPr>
          <w:rFonts w:ascii="Calibri" w:eastAsia="Times New Roman" w:hAnsi="Calibri" w:cs="Calibri"/>
          <w:color w:val="767171"/>
          <w:sz w:val="26"/>
          <w:szCs w:val="26"/>
          <w:lang w:val="es-ES" w:eastAsia="es-ES"/>
        </w:rPr>
        <w:t xml:space="preserve">. . . . . . . . . . . . . . . . . . . . . . . . . . . . . . . . . . . . . . . . . . . . . . . . . . </w:t>
      </w:r>
    </w:p>
    <w:p w:rsidR="00A8347C" w:rsidRPr="00A8347C" w:rsidRDefault="00A8347C" w:rsidP="00A8347C">
      <w:pPr>
        <w:spacing w:after="0" w:line="240" w:lineRule="auto"/>
        <w:ind w:firstLine="708"/>
        <w:jc w:val="both"/>
        <w:rPr>
          <w:rFonts w:ascii="Calibri" w:eastAsia="Times New Roman" w:hAnsi="Calibri" w:cs="Calibri"/>
          <w:color w:val="767171"/>
          <w:sz w:val="26"/>
          <w:szCs w:val="26"/>
          <w:lang w:val="es-ES" w:eastAsia="es-ES"/>
        </w:rPr>
      </w:pPr>
    </w:p>
    <w:p w:rsidR="00A8347C" w:rsidRPr="00A8347C" w:rsidRDefault="00A8347C" w:rsidP="00A8347C">
      <w:pPr>
        <w:spacing w:after="0" w:line="240" w:lineRule="auto"/>
        <w:ind w:firstLine="708"/>
        <w:jc w:val="both"/>
        <w:rPr>
          <w:rFonts w:ascii="Calibri" w:eastAsia="Times New Roman" w:hAnsi="Calibri" w:cs="Calibri"/>
          <w:color w:val="767171"/>
          <w:sz w:val="26"/>
          <w:szCs w:val="26"/>
          <w:lang w:val="es-ES" w:eastAsia="es-ES"/>
        </w:rPr>
      </w:pPr>
      <w:r w:rsidRPr="00A8347C">
        <w:rPr>
          <w:rFonts w:ascii="Calibri" w:eastAsia="Times New Roman" w:hAnsi="Calibri" w:cs="Calibri"/>
          <w:color w:val="767171"/>
          <w:sz w:val="26"/>
          <w:szCs w:val="26"/>
          <w:lang w:val="es-ES" w:eastAsia="es-ES"/>
        </w:rPr>
        <w:t xml:space="preserve">En este sentido, al resultar </w:t>
      </w:r>
      <w:r w:rsidRPr="00A8347C">
        <w:rPr>
          <w:rFonts w:ascii="Calibri" w:eastAsia="Times New Roman" w:hAnsi="Calibri" w:cs="Calibri"/>
          <w:b/>
          <w:color w:val="767171"/>
          <w:sz w:val="26"/>
          <w:szCs w:val="26"/>
          <w:lang w:val="es-ES" w:eastAsia="es-ES"/>
        </w:rPr>
        <w:t>inoperante</w:t>
      </w:r>
      <w:r w:rsidRPr="00A8347C">
        <w:rPr>
          <w:rFonts w:ascii="Calibri" w:eastAsia="Times New Roman" w:hAnsi="Calibri" w:cs="Calibri"/>
          <w:color w:val="767171"/>
          <w:sz w:val="26"/>
          <w:szCs w:val="26"/>
          <w:lang w:val="es-ES" w:eastAsia="es-ES"/>
        </w:rPr>
        <w:t xml:space="preserve"> el argumento vertido por la parte actora -en su escrito de ampliación de demanda- como concepto de impugnación en contra de la respuesta recaída a su escrito presentado; este Juzgador considera que la respuesta emitida por la autoridad demandada se encuentra justificada, pues tal información puede ser proporcionada por los medios legales establecidos; aunado a la ausencia de conceptos de impugnación que combatan, en esencia, dicha respuesta otorgada; y en virtud de que no se actualiza alguna causa de ilegalidad en el presente asunto y a que no se desvirtúa la presunción de legalidad de la respuesta otorgada a la petición del justiciable, con fundamento en lo dispuesto en el artículo 300 fracción I, del Código de Procedimiento y Justicia Administrativa para el Estado y los Municipios de Guanajuato, procede </w:t>
      </w:r>
      <w:r w:rsidRPr="00A8347C">
        <w:rPr>
          <w:rFonts w:ascii="Calibri" w:eastAsia="Times New Roman" w:hAnsi="Calibri" w:cs="Calibri"/>
          <w:b/>
          <w:bCs/>
          <w:iCs/>
          <w:color w:val="767171"/>
          <w:sz w:val="26"/>
          <w:szCs w:val="26"/>
          <w:lang w:val="es-ES" w:eastAsia="es-ES"/>
        </w:rPr>
        <w:t xml:space="preserve">reconocer la legalidad y validez </w:t>
      </w:r>
      <w:r w:rsidRPr="00A8347C">
        <w:rPr>
          <w:rFonts w:ascii="Calibri" w:eastAsia="Times New Roman" w:hAnsi="Calibri" w:cs="Calibri"/>
          <w:bCs/>
          <w:color w:val="767171"/>
          <w:sz w:val="26"/>
          <w:szCs w:val="26"/>
          <w:lang w:val="es-ES" w:eastAsia="es-ES"/>
        </w:rPr>
        <w:t xml:space="preserve">de la respuesta dada por el Síndico Segundo del Ayuntamiento de León, Guanajuato; al ciudadano </w:t>
      </w:r>
      <w:r w:rsidRPr="00A8347C">
        <w:rPr>
          <w:rFonts w:ascii="Calibri" w:eastAsia="Times New Roman" w:hAnsi="Calibri" w:cs="Calibri"/>
          <w:color w:val="767171"/>
          <w:sz w:val="26"/>
          <w:szCs w:val="26"/>
          <w:lang w:val="es-ES" w:eastAsia="es-ES"/>
        </w:rPr>
        <w:t>*****</w:t>
      </w:r>
      <w:r w:rsidRPr="00A8347C">
        <w:rPr>
          <w:rFonts w:ascii="Calibri" w:eastAsia="Times New Roman" w:hAnsi="Calibri" w:cs="Calibri"/>
          <w:bCs/>
          <w:color w:val="767171"/>
          <w:sz w:val="26"/>
          <w:szCs w:val="26"/>
          <w:lang w:val="es-ES" w:eastAsia="es-ES"/>
        </w:rPr>
        <w:t>, mediante la contestación de demanda de fecha 6 seis de julio de este año y notificado el día 13 trece de ese mismo mes y año</w:t>
      </w:r>
      <w:r w:rsidRPr="00A8347C">
        <w:rPr>
          <w:rFonts w:ascii="Calibri" w:eastAsia="Times New Roman" w:hAnsi="Calibri" w:cs="Calibri"/>
          <w:color w:val="767171"/>
          <w:sz w:val="26"/>
          <w:szCs w:val="26"/>
          <w:lang w:val="es-ES" w:eastAsia="es-ES"/>
        </w:rPr>
        <w:t>. . . . . . . . . . .</w:t>
      </w:r>
    </w:p>
    <w:p w:rsidR="00A8347C" w:rsidRPr="00A8347C" w:rsidRDefault="00A8347C" w:rsidP="00A8347C">
      <w:pPr>
        <w:spacing w:after="0" w:line="240" w:lineRule="auto"/>
        <w:ind w:firstLine="708"/>
        <w:jc w:val="both"/>
        <w:rPr>
          <w:rFonts w:ascii="Calibri" w:eastAsia="Times New Roman" w:hAnsi="Calibri" w:cs="Calibri"/>
          <w:color w:val="767171"/>
          <w:sz w:val="26"/>
          <w:szCs w:val="26"/>
          <w:lang w:val="es-ES" w:eastAsia="es-ES"/>
        </w:rPr>
      </w:pPr>
    </w:p>
    <w:p w:rsidR="00A8347C" w:rsidRPr="00A8347C" w:rsidRDefault="00A8347C" w:rsidP="00A8347C">
      <w:pPr>
        <w:spacing w:after="0" w:line="240" w:lineRule="auto"/>
        <w:ind w:firstLine="708"/>
        <w:jc w:val="both"/>
        <w:rPr>
          <w:rFonts w:ascii="Calibri" w:eastAsia="Times New Roman" w:hAnsi="Calibri" w:cs="Calibri"/>
          <w:color w:val="767171"/>
          <w:sz w:val="26"/>
          <w:szCs w:val="26"/>
          <w:lang w:val="es-ES" w:eastAsia="es-ES"/>
        </w:rPr>
      </w:pPr>
      <w:r w:rsidRPr="00A8347C">
        <w:rPr>
          <w:rFonts w:ascii="Calibri" w:eastAsia="Times New Roman" w:hAnsi="Calibri" w:cs="Calibri"/>
          <w:color w:val="767171"/>
          <w:sz w:val="26"/>
          <w:szCs w:val="26"/>
          <w:lang w:val="es-ES" w:eastAsia="es-ES"/>
        </w:rPr>
        <w:t xml:space="preserve">Sirve de apoyo a todo lo antes expuesto, los criterios que sostiene el Poder Judicial Federal en las siguientes Jurisprudencias: . . . . . . . . . . . . . . . . . . . . . . . . . . . </w:t>
      </w:r>
    </w:p>
    <w:p w:rsidR="00A8347C" w:rsidRPr="00A8347C" w:rsidRDefault="00A8347C" w:rsidP="00A8347C">
      <w:pPr>
        <w:spacing w:after="0" w:line="240" w:lineRule="auto"/>
        <w:jc w:val="both"/>
        <w:rPr>
          <w:rFonts w:ascii="Calibri" w:eastAsia="Times New Roman" w:hAnsi="Calibri" w:cs="Calibri"/>
          <w:color w:val="767171"/>
          <w:sz w:val="26"/>
          <w:szCs w:val="26"/>
          <w:lang w:val="es-ES" w:eastAsia="es-ES"/>
        </w:rPr>
      </w:pPr>
    </w:p>
    <w:p w:rsidR="00A8347C" w:rsidRPr="00A8347C" w:rsidRDefault="00A8347C" w:rsidP="00A8347C">
      <w:pPr>
        <w:spacing w:after="0" w:line="240" w:lineRule="auto"/>
        <w:ind w:firstLine="708"/>
        <w:jc w:val="both"/>
        <w:rPr>
          <w:rFonts w:ascii="Calibri" w:eastAsia="Times New Roman" w:hAnsi="Calibri" w:cs="Calibri"/>
          <w:i/>
          <w:color w:val="767171"/>
          <w:sz w:val="26"/>
          <w:szCs w:val="26"/>
          <w:lang w:val="es-ES" w:eastAsia="es-ES"/>
        </w:rPr>
      </w:pPr>
      <w:r w:rsidRPr="00A8347C">
        <w:rPr>
          <w:rFonts w:ascii="Calibri" w:eastAsia="Times New Roman" w:hAnsi="Calibri" w:cs="Calibri"/>
          <w:b/>
          <w:i/>
          <w:color w:val="767171"/>
          <w:sz w:val="26"/>
          <w:szCs w:val="26"/>
          <w:lang w:val="es-ES" w:eastAsia="es-ES"/>
        </w:rPr>
        <w:t>“AGRAVIOS INOPERANTES. SON AQUELLOS QUE NO COMBATEN TODAS LAS CONSIDERACIONES CONTENIDAS EN LA SENTENCIA RECURRIDA.</w:t>
      </w:r>
      <w:r w:rsidRPr="00A8347C">
        <w:rPr>
          <w:rFonts w:ascii="Calibri" w:eastAsia="Times New Roman" w:hAnsi="Calibri" w:cs="Calibri"/>
          <w:i/>
          <w:color w:val="767171"/>
          <w:sz w:val="26"/>
          <w:szCs w:val="26"/>
          <w:lang w:val="es-ES" w:eastAsia="es-ES"/>
        </w:rPr>
        <w:t xml:space="preserve"> Ha sido criterio reiterado de esta Suprema Corte de Justicia de la Nación, que los agravios son inoperantes cuando no se combaten todas y cada una de las consideraciones contenidas en la sentencia recurrida. Ahora bien, desde la anterior Tercera Sala, en su tesis jurisprudencial número 13/90, se sustentó el criterio de que cuando el tribunal de amparo no ciñe su estudio a los conceptos de violación esgrimidos en la demanda, sino que lo amplía en relación a los problemas debatidos, tal actuación no causa ningún agravio al quejoso, ni el juzgador de amparo incurre en irregularidad alguna, sino por el contrario, actúa debidamente al buscar una mejor y más profunda comprensión del problema a dilucidar y la solución más fundada y acertada a las pretensiones aducidas. Por tanto, resulta claro que el recurrente está obligado a impugnar todas y cada una de las consideraciones sustentadas por el </w:t>
      </w:r>
      <w:r w:rsidRPr="00A8347C">
        <w:rPr>
          <w:rFonts w:ascii="Calibri" w:eastAsia="Times New Roman" w:hAnsi="Calibri" w:cs="Calibri"/>
          <w:i/>
          <w:color w:val="767171"/>
          <w:sz w:val="26"/>
          <w:szCs w:val="26"/>
          <w:lang w:val="es-ES" w:eastAsia="es-ES"/>
        </w:rPr>
        <w:lastRenderedPageBreak/>
        <w:t xml:space="preserve">tribunal de amparo aun cuando éstas no se ajusten estrictamente a los argumentos esgrimidos como conceptos de violación en el escrito de demanda de amparo.” </w:t>
      </w:r>
      <w:r w:rsidRPr="00A8347C">
        <w:rPr>
          <w:rFonts w:ascii="Calibri" w:eastAsia="Times New Roman" w:hAnsi="Calibri" w:cs="Calibri"/>
          <w:i/>
          <w:color w:val="767171"/>
          <w:lang w:val="es-ES" w:eastAsia="es-ES"/>
        </w:rPr>
        <w:t xml:space="preserve">Época: Décima Época. Registro: </w:t>
      </w:r>
      <w:proofErr w:type="gramStart"/>
      <w:r w:rsidRPr="00A8347C">
        <w:rPr>
          <w:rFonts w:ascii="Calibri" w:eastAsia="Times New Roman" w:hAnsi="Calibri" w:cs="Calibri"/>
          <w:i/>
          <w:color w:val="767171"/>
          <w:lang w:val="es-ES" w:eastAsia="es-ES"/>
        </w:rPr>
        <w:t>159947 .</w:t>
      </w:r>
      <w:proofErr w:type="gramEnd"/>
      <w:r w:rsidRPr="00A8347C">
        <w:rPr>
          <w:rFonts w:ascii="Calibri" w:eastAsia="Times New Roman" w:hAnsi="Calibri" w:cs="Calibri"/>
          <w:i/>
          <w:color w:val="767171"/>
          <w:lang w:val="es-ES" w:eastAsia="es-ES"/>
        </w:rPr>
        <w:t xml:space="preserve"> Instancia: Primera Sala. Tipo de Tesis: Jurisprudencia. Fuente: Semanario Judicial de la Federación y su Gaceta. Libro XIII, Octubre de 2012, Tomo 2. Materia(s): Común. Tesis: 1a</w:t>
      </w:r>
      <w:proofErr w:type="gramStart"/>
      <w:r w:rsidRPr="00A8347C">
        <w:rPr>
          <w:rFonts w:ascii="Calibri" w:eastAsia="Times New Roman" w:hAnsi="Calibri" w:cs="Calibri"/>
          <w:i/>
          <w:color w:val="767171"/>
          <w:lang w:val="es-ES" w:eastAsia="es-ES"/>
        </w:rPr>
        <w:t>./</w:t>
      </w:r>
      <w:proofErr w:type="gramEnd"/>
      <w:r w:rsidRPr="00A8347C">
        <w:rPr>
          <w:rFonts w:ascii="Calibri" w:eastAsia="Times New Roman" w:hAnsi="Calibri" w:cs="Calibri"/>
          <w:i/>
          <w:color w:val="767171"/>
          <w:lang w:val="es-ES" w:eastAsia="es-ES"/>
        </w:rPr>
        <w:t>J. 19/2012 (9a.). Página: 731. . . . . . . . . . . . . . . . . . . . . . . . . . . . . . . . . . . . . . . . . . . . . . . . . . . . . . . . . . . . . . . . . . . . . . . .</w:t>
      </w:r>
    </w:p>
    <w:p w:rsidR="00A8347C" w:rsidRPr="00A8347C" w:rsidRDefault="00A8347C" w:rsidP="00A8347C">
      <w:pPr>
        <w:spacing w:after="0" w:line="240" w:lineRule="auto"/>
        <w:jc w:val="both"/>
        <w:rPr>
          <w:rFonts w:ascii="Calibri" w:eastAsia="Times New Roman" w:hAnsi="Calibri" w:cs="Calibri"/>
          <w:color w:val="767171"/>
          <w:sz w:val="26"/>
          <w:szCs w:val="26"/>
          <w:lang w:val="es-ES" w:eastAsia="es-ES"/>
        </w:rPr>
      </w:pPr>
    </w:p>
    <w:p w:rsidR="00A8347C" w:rsidRPr="00A8347C" w:rsidRDefault="00A8347C" w:rsidP="00A8347C">
      <w:pPr>
        <w:spacing w:after="0" w:line="240" w:lineRule="auto"/>
        <w:ind w:firstLine="708"/>
        <w:jc w:val="both"/>
        <w:rPr>
          <w:rFonts w:ascii="Calibri" w:eastAsia="Times New Roman" w:hAnsi="Calibri" w:cs="Calibri"/>
          <w:color w:val="767171"/>
          <w:lang w:val="es-ES" w:eastAsia="es-ES"/>
        </w:rPr>
      </w:pPr>
      <w:r w:rsidRPr="00A8347C">
        <w:rPr>
          <w:rFonts w:ascii="Calibri" w:eastAsia="Times New Roman" w:hAnsi="Calibri" w:cs="Calibri"/>
          <w:color w:val="767171"/>
          <w:lang w:val="es-ES" w:eastAsia="es-ES"/>
        </w:rPr>
        <w:t xml:space="preserve">Amparo en revisión 64/1991. Inmobiliaria Leza, S.A. de C.V. 2 de abril de 1991. Unanimidad de cuatro votos. Ponente: Sergio Hugo Chapital Gutiérrez. Secretario: E. Gustavo </w:t>
      </w:r>
    </w:p>
    <w:p w:rsidR="00A8347C" w:rsidRPr="00A8347C" w:rsidRDefault="00A8347C" w:rsidP="00A8347C">
      <w:pPr>
        <w:spacing w:after="0" w:line="240" w:lineRule="auto"/>
        <w:jc w:val="right"/>
        <w:rPr>
          <w:rFonts w:ascii="Calibri" w:eastAsia="Times New Roman" w:hAnsi="Calibri" w:cs="Calibri"/>
          <w:b/>
          <w:bCs/>
          <w:iCs/>
          <w:color w:val="767171"/>
          <w:sz w:val="26"/>
          <w:szCs w:val="26"/>
          <w:lang w:eastAsia="es-ES"/>
        </w:rPr>
      </w:pPr>
      <w:r w:rsidRPr="00A8347C">
        <w:rPr>
          <w:rFonts w:ascii="Calibri" w:eastAsia="Times New Roman" w:hAnsi="Calibri" w:cs="Calibri"/>
          <w:b/>
          <w:bCs/>
          <w:iCs/>
          <w:color w:val="767171"/>
          <w:sz w:val="26"/>
          <w:szCs w:val="26"/>
          <w:lang w:eastAsia="es-ES"/>
        </w:rPr>
        <w:t>Expediente número 66</w:t>
      </w:r>
      <w:r w:rsidRPr="00A8347C">
        <w:rPr>
          <w:rFonts w:ascii="Calibri" w:eastAsia="Times New Roman" w:hAnsi="Calibri" w:cs="Calibri"/>
          <w:b/>
          <w:color w:val="767171"/>
          <w:sz w:val="26"/>
          <w:szCs w:val="26"/>
          <w:lang w:eastAsia="es-ES"/>
        </w:rPr>
        <w:t>2</w:t>
      </w:r>
      <w:r w:rsidRPr="00A8347C">
        <w:rPr>
          <w:rFonts w:ascii="Calibri" w:eastAsia="Times New Roman" w:hAnsi="Calibri" w:cs="Calibri"/>
          <w:b/>
          <w:bCs/>
          <w:iCs/>
          <w:color w:val="767171"/>
          <w:sz w:val="26"/>
          <w:szCs w:val="26"/>
          <w:lang w:eastAsia="es-ES"/>
        </w:rPr>
        <w:t>/2doJAM/2017</w:t>
      </w:r>
      <w:r w:rsidRPr="00A8347C">
        <w:rPr>
          <w:rFonts w:ascii="Calibri" w:eastAsia="Times New Roman" w:hAnsi="Calibri" w:cs="Calibri"/>
          <w:b/>
          <w:iCs/>
          <w:color w:val="767171"/>
          <w:sz w:val="26"/>
          <w:szCs w:val="26"/>
          <w:lang w:eastAsia="es-ES"/>
        </w:rPr>
        <w:t>-JN</w:t>
      </w:r>
    </w:p>
    <w:p w:rsidR="00A8347C" w:rsidRPr="00A8347C" w:rsidRDefault="00A8347C" w:rsidP="00A8347C">
      <w:pPr>
        <w:spacing w:after="0" w:line="240" w:lineRule="auto"/>
        <w:ind w:firstLine="708"/>
        <w:jc w:val="both"/>
        <w:rPr>
          <w:rFonts w:ascii="Calibri" w:eastAsia="Times New Roman" w:hAnsi="Calibri" w:cs="Calibri"/>
          <w:color w:val="767171"/>
          <w:lang w:val="es-ES" w:eastAsia="es-ES"/>
        </w:rPr>
      </w:pPr>
    </w:p>
    <w:p w:rsidR="00A8347C" w:rsidRPr="00A8347C" w:rsidRDefault="00A8347C" w:rsidP="00A8347C">
      <w:pPr>
        <w:spacing w:after="0" w:line="240" w:lineRule="auto"/>
        <w:jc w:val="both"/>
        <w:rPr>
          <w:rFonts w:ascii="Calibri" w:eastAsia="Times New Roman" w:hAnsi="Calibri" w:cs="Calibri"/>
          <w:color w:val="767171"/>
          <w:lang w:val="es-ES" w:eastAsia="es-ES"/>
        </w:rPr>
      </w:pPr>
      <w:r w:rsidRPr="00A8347C">
        <w:rPr>
          <w:rFonts w:ascii="Calibri" w:eastAsia="Times New Roman" w:hAnsi="Calibri" w:cs="Calibri"/>
          <w:color w:val="767171"/>
          <w:lang w:val="es-ES" w:eastAsia="es-ES"/>
        </w:rPr>
        <w:t xml:space="preserve">Núñez Rivera. Amparo directo en revisión 134/2012. Fanny Gordillo Rustrian. 29 de febrero de 2012. Cinco votos. Ponente: Olga Sánchez Cordero de García Villegas. Secretario: Ricardo Manuel Martínez Estrada. Amparo directo en revisión 519/2012. Diez Excelencia, S.A. de C.V. 25 de abril de 2012. Cinco votos. Ponente: Guillermo I. Ortiz Mayagoitia. Secretario: Rolando Javier García Martínez. Amparo directo en revisión 873/2012. Ana María Reyes Aguilar. 9 de mayo de 2012. Cinco votos. Ponente: Guillermo I. Ortiz Mayagoitia. Secretario: Rolando Javier García Martínez. Amparo directo en revisión 1468/2012. Del Río Maquiladora, S.A. de C.V. 20 de junio de 2012. Cinco votos. Ponente: Olga Sánchez Cordero de García Villegas. Secretario: Ricardo Manuel Martínez Estrada. Tesis de jurisprudencia 19/2012 (9a.). Aprobada por la Primera Sala de este Alto Tribunal, en sesión de fecha veintiséis de septiembre de dos mil doce. Nota: La tesis de jurisprudencia 3a. 63 13/90 citada, aparece publicada en el Semanario Judicial de la Federación, Octava Época, Tomo V, Primera Parte, enero a junio de 1990, página 251, con el rubro: "SENTENCIAS DE AMPARO. NO ES PRECISO QUE SE LIMITEN ESTRICTAMENTE A LOS CONCEPTOS DE VIOLACIÓN, SINO QUE PUEDEN CONTENER UN ANÁLISIS DE MAYOR AMPLITUD.". </w:t>
      </w:r>
      <w:r w:rsidRPr="00A8347C">
        <w:rPr>
          <w:rFonts w:ascii="Calibri" w:eastAsia="Times New Roman" w:hAnsi="Calibri" w:cs="Calibri"/>
          <w:i/>
          <w:color w:val="767171"/>
          <w:lang w:val="es-ES" w:eastAsia="es-ES"/>
        </w:rPr>
        <w:t xml:space="preserve">. . . . . . . . . . . . . . . . . . . . . . . . . . . . . . . . . . . . . . . . . . . . . . . . . . . . . . . . . . . . . . . . . . . . . . </w:t>
      </w:r>
    </w:p>
    <w:p w:rsidR="00A8347C" w:rsidRPr="00A8347C" w:rsidRDefault="00A8347C" w:rsidP="00A8347C">
      <w:pPr>
        <w:spacing w:after="0" w:line="240" w:lineRule="auto"/>
        <w:ind w:firstLine="708"/>
        <w:jc w:val="both"/>
        <w:rPr>
          <w:rFonts w:ascii="Calibri" w:eastAsia="Times New Roman" w:hAnsi="Calibri" w:cs="Calibri"/>
          <w:b/>
          <w:i/>
          <w:color w:val="767171"/>
          <w:sz w:val="26"/>
          <w:szCs w:val="26"/>
          <w:lang w:val="es-ES" w:eastAsia="es-ES"/>
        </w:rPr>
      </w:pPr>
    </w:p>
    <w:p w:rsidR="00A8347C" w:rsidRPr="00A8347C" w:rsidRDefault="00A8347C" w:rsidP="00A8347C">
      <w:pPr>
        <w:spacing w:after="0" w:line="240" w:lineRule="auto"/>
        <w:ind w:firstLine="708"/>
        <w:jc w:val="both"/>
        <w:rPr>
          <w:rFonts w:ascii="Calibri" w:eastAsia="Times New Roman" w:hAnsi="Calibri" w:cs="Calibri"/>
          <w:color w:val="767171"/>
          <w:lang w:val="es-ES" w:eastAsia="es-ES"/>
        </w:rPr>
      </w:pPr>
      <w:r w:rsidRPr="00A8347C">
        <w:rPr>
          <w:rFonts w:ascii="Calibri" w:eastAsia="Times New Roman" w:hAnsi="Calibri" w:cs="Calibri"/>
          <w:b/>
          <w:i/>
          <w:color w:val="767171"/>
          <w:sz w:val="26"/>
          <w:szCs w:val="26"/>
          <w:lang w:val="es-ES" w:eastAsia="es-ES"/>
        </w:rPr>
        <w:t>“CONCEPTOS DE VIOLACIÓN INOPERANTES EN EL AMPARO DIRECTO. LO SON AQUELLOS QUE, ADEMÁS DE NO CONTROVERTIR EFICAZMENTE LAS CONSIDERACIONES DE LA SENTENCIA RECLAMADA, SE LIMITAN A INVOCAR LA APLICACIÓN DEL PRINCIPIO PRO PERSONA O DEL NUEVO MODELO DE CONTROL CONSTITUCIONAL, COMO CAUSA DE PEDIR, PERO NO CUMPLEN CON LOS PARÁMETROS MÍNIMOS PARA LA EFICACIA DE ESTA SOLICITUD</w:t>
      </w:r>
      <w:r w:rsidRPr="00A8347C">
        <w:rPr>
          <w:rFonts w:ascii="Calibri" w:eastAsia="Times New Roman" w:hAnsi="Calibri" w:cs="Calibri"/>
          <w:i/>
          <w:color w:val="767171"/>
          <w:sz w:val="26"/>
          <w:szCs w:val="26"/>
          <w:lang w:val="es-ES" w:eastAsia="es-ES"/>
        </w:rPr>
        <w:t xml:space="preserve">. Si bien es cierto que la reforma constitucional en materia de derechos humanos, publicada en el Diario Oficial de la Federación el 10 de junio de 2011, generó nuevos deberes para las autoridades del Estado Mexicano y, particularmente, para los órganos jurisdiccionales, en el sentido de promover, respetar, proteger y garantizar los derechos humanos, con independencia de su fuente, de conformidad con ciertos principios de optimización interpretativa, entre éstos, el de interpretación más favorable a la persona, y dio lugar a un nuevo modelo de control constitucional y convencional ex officio, también lo es que, según interpretaron la Primera y Segunda Salas de la Suprema Corte de Justicia de la Nación, en las tesis aisladas 1a. LXVII/2014 (10a.) y 1a. CCCXXVII/2014 (10a.) y de jurisprudencia 2a./J. 56/2014 (10a.) y 2a./J. 123/2014 (10a.), por una parte, el referido principio no conlleva que </w:t>
      </w:r>
      <w:r w:rsidRPr="00A8347C">
        <w:rPr>
          <w:rFonts w:ascii="Calibri" w:eastAsia="Times New Roman" w:hAnsi="Calibri" w:cs="Calibri"/>
          <w:i/>
          <w:color w:val="767171"/>
          <w:sz w:val="26"/>
          <w:szCs w:val="26"/>
          <w:lang w:val="es-ES" w:eastAsia="es-ES"/>
        </w:rPr>
        <w:lastRenderedPageBreak/>
        <w:t>los órganos jurisdiccionales dejen de observar en su labor los diversos principios y restricciones previstos en la Constitución Política de los Estados Unidos Mexicanos, aplicables a los procedimientos de que conocen y, por otra, el ejercicio de control constitucional o convencional está supeditado, tratándose del oficioso, a que el órgano jurisdiccional advierta la sospecha de disconformidad de la norma aplicable o el acto de autoridad, con los derechos humanos reconocidos y, tratándose del que debe ejercerse a petición de parte, a que se cumplan los requisitos mínimos del planteamiento respectivo, consistentes en que, aunado a que se pida la aplicación del principio pro persona o se impugne su falta de aplicación por la autoridad responsable, se señale también cuál es el derecho humano cuya maximización se pretende, se indique la norma cuya aplicación debe preferirse o la interpretación que resulta más favorable hacia el derecho fundamental restringido y se precisen los motivos para preferirlos en lugar de otras normas o interpretaciones posibles, desde luego, todo esto con incidencia en la estimación de que el acto reclamado es inconstitucional o inconvencional, con lo cual se evita una carga excesiva al ejercicio jurisdiccional y se parte de reconocer que el ordenamiento jurídico nacional y los actos fundados en él gozan de la presunción de constitucionalidad, aun en lo relativo al respeto a los derechos humanos y a las restricciones que constitucionalmente operan en esta materia. Consecuentemente, si en el amparo directo los conceptos de violación, además de no controvertir eficazmente las consideraciones de la sentencia reclamada, se limitan a invocar la aplicación del principio pro persona o del nuevo modelo de control constitucional, como causa de pedir, pero no cumplen con los aludidos parámetros mínimos para la eficacia de esta solicitud, son inoperantes, más aún, ante el imperio de la regla general de estricto derecho, como previsión constitucional encaminada a asegurar, en condiciones ordinarias en el procedimiento de amparo, la imparcialidad del órgano de control y la igualdad de trato hacia las partes, cuando no concurre un motivo que excepcionalmente permita suplir la deficiencia de la queja en los términos establecidos en la Ley de Amparo y tampoco se advierte sospecha de disconformidad constitucional o convencional de una norma aplicada en perjuicio del quejoso; en el entendido de que si lo que se hace valer es la omisión de la responsable de ejercer el control referido, ello no constituye, en sí mismo, una violación pues, en todo caso, el justiciable estuvo en aptitud de efectuar el planteamiento respectivo ante la jurisdicción constitucional, cumpliendo con los parámetros mínimos requeridos, sin que lo hubiese hecho.”</w:t>
      </w:r>
      <w:r w:rsidRPr="00A8347C">
        <w:rPr>
          <w:rFonts w:ascii="Calibri" w:eastAsia="Times New Roman" w:hAnsi="Calibri" w:cs="Calibri"/>
          <w:color w:val="767171"/>
          <w:lang w:val="es-ES" w:eastAsia="es-ES"/>
        </w:rPr>
        <w:t>Época: Décima Época. Registro: 2010532. Instancia: Tribunales Colegiados de Circuito. Tipo de Tesis: Jurisprudencia. Fuente: Gaceta del Semanario Judicial de la Federación. Libro 24, Noviembre de 2015, Tomo IV. Materia(s): Común. Tesis: IV.2o.A. J/10 (10a.</w:t>
      </w:r>
      <w:proofErr w:type="gramStart"/>
      <w:r w:rsidRPr="00A8347C">
        <w:rPr>
          <w:rFonts w:ascii="Calibri" w:eastAsia="Times New Roman" w:hAnsi="Calibri" w:cs="Calibri"/>
          <w:color w:val="767171"/>
          <w:lang w:val="es-ES" w:eastAsia="es-ES"/>
        </w:rPr>
        <w:t>) .</w:t>
      </w:r>
      <w:proofErr w:type="gramEnd"/>
      <w:r w:rsidRPr="00A8347C">
        <w:rPr>
          <w:rFonts w:ascii="Calibri" w:eastAsia="Times New Roman" w:hAnsi="Calibri" w:cs="Calibri"/>
          <w:color w:val="767171"/>
          <w:lang w:val="es-ES" w:eastAsia="es-ES"/>
        </w:rPr>
        <w:t xml:space="preserve"> Página: 3229. . . . . . . . . . . . . . . . . . . . . . . . . . . . . . . </w:t>
      </w:r>
    </w:p>
    <w:p w:rsidR="00A8347C" w:rsidRPr="00A8347C" w:rsidRDefault="00A8347C" w:rsidP="00A8347C">
      <w:pPr>
        <w:spacing w:after="0" w:line="240" w:lineRule="auto"/>
        <w:ind w:firstLine="708"/>
        <w:jc w:val="both"/>
        <w:rPr>
          <w:rFonts w:ascii="Calibri" w:eastAsia="Times New Roman" w:hAnsi="Calibri" w:cs="Calibri"/>
          <w:i/>
          <w:color w:val="767171"/>
          <w:sz w:val="26"/>
          <w:szCs w:val="26"/>
          <w:lang w:val="es-ES" w:eastAsia="es-ES"/>
        </w:rPr>
      </w:pPr>
    </w:p>
    <w:p w:rsidR="00A8347C" w:rsidRPr="00A8347C" w:rsidRDefault="00A8347C" w:rsidP="00A8347C">
      <w:pPr>
        <w:spacing w:after="0" w:line="240" w:lineRule="auto"/>
        <w:ind w:firstLine="708"/>
        <w:jc w:val="both"/>
        <w:rPr>
          <w:rFonts w:ascii="Calibri" w:eastAsia="Times New Roman" w:hAnsi="Calibri" w:cs="Calibri"/>
          <w:color w:val="767171"/>
          <w:lang w:val="es-ES" w:eastAsia="es-ES"/>
        </w:rPr>
      </w:pPr>
      <w:r w:rsidRPr="00A8347C">
        <w:rPr>
          <w:rFonts w:ascii="Calibri" w:eastAsia="Times New Roman" w:hAnsi="Calibri" w:cs="Calibri"/>
          <w:color w:val="767171"/>
          <w:lang w:val="es-ES" w:eastAsia="es-ES"/>
        </w:rPr>
        <w:t xml:space="preserve">SEGUNDO TRIBUNAL COLEGIADO EN MATERIA ADMINISTRATIVA DEL CUARTO CIRCUITO. Amparo directo 382/2014. Joel Nava Saucedo. 19 de febrero de 2015. Unanimidad de votos. </w:t>
      </w:r>
      <w:r w:rsidRPr="00A8347C">
        <w:rPr>
          <w:rFonts w:ascii="Calibri" w:eastAsia="Times New Roman" w:hAnsi="Calibri" w:cs="Calibri"/>
          <w:color w:val="767171"/>
          <w:lang w:val="es-ES" w:eastAsia="es-ES"/>
        </w:rPr>
        <w:lastRenderedPageBreak/>
        <w:t xml:space="preserve">Ponente: José Carlos Rodríguez Navarro. Secretario: Eucario Adame Pérez. Amparo directo 359/2014. Grisel Zamora Viveros. 26 de febrero de 2015. Unanimidad de votos. Ponente: Luis Alfonso Hernández Núñez. Secretaria: Zarahí Escobar Acosta. Amparo directo 336/2014. G. y G. Gasolineros, S.A. 5 de marzo de 2015. Unanimidad de votos. Ponente: Luis Alfonso Hernández Núñez. Secretario: Jesús Alejandro Jiménez Álvarez. Amparo directo 14/2015. Comercializadora Rivego, S.A. de C.V. 12 de marzo de 2015. Unanimidad de votos. Ponente: Luis Alfonso Hernández Núñez. Secretario: Jesús Alejandro Jiménez Álvarez. Amparo directo 255/2015. 22 de octubre de 2015. Unanimidad de votos. Ponente: Hugo Alejandro Bermúdez Manrique. Secretario: Jesús Alejandro Jiménez Álvarez. Nota: Las tesis aisladas 1a. LXVII/2014 (10a.) y 1a. CCCXXVII/2014 (10a.) y de jurisprudencia 2a./J. 56/2014 (10a.) y 2a./J. 123/2014 (10a.) citadas, aparecen publicadas en el Semanario Judicial de la Federación de los viernes 21 de febrero a las 10:32 horas, 3 de octubre a las 9:30 horas, 23 de mayo a las 10:06 horas y 28 de noviembre a las 10:05 horas, todos de 2014, y en la Gaceta del Semanario Judicial de la Federación, Décima Época, Libro 3, Tomo I, febrero de 2014, página 639; Libro 11, Tomo I, octubre de 2014, página 613; Libro 6, Tomo II, mayo de 2014, página 772 y Libro 12, Tomo I, noviembre de 2014, página 859, con los títulos y subtítulos: "CONTROL DE CONSTITUCIONALIDAD Y CONVENCIONALIDAD EX OFFICIO. CONDICIONES GENERALES PARA SU EJERCICIO.", "PRINCIPIO PRO PERSONA. REQUISITOS MÍNIMOS PARA QUE SE ATIENDA EL FONDO DE LA SOLICITUD DE SU APLICACIÓN, O LA IMPUGNACIÓN DE SU OMISIÓN POR LA AUTORIDAD RESPONSABLE.", "PRINCIPIO DE INTERPRETACIÓN MÁS FAVORABLE A LA PERSONA. SU CUMPLIMIENTO NO IMPLICA QUE LOS ÓRGANOS JURISDICCIONALES NACIONALES, AL EJERCER SU FUNCIÓN, DEJEN DE OBSERVAR LOS DIVERSOS PRINCIPIOS Y RESTRICCIONES QUE PREVÉ LA NORMA FUNDAMENTAL." y "CONTROL DE CONSTITUCIONALIDAD Y CONVENCIONALIDAD. SU EJERCICIO DEBE SATISFACER REQUISITOS MÍNIMOS CUANDO SE PROPONE EN LOS CONCEPTOS DE VIOLACIÓN.", respectivamente. Esta tesis se publicó el </w:t>
      </w:r>
    </w:p>
    <w:p w:rsidR="00A8347C" w:rsidRPr="00A8347C" w:rsidRDefault="00A8347C" w:rsidP="00A8347C">
      <w:pPr>
        <w:spacing w:after="0" w:line="240" w:lineRule="auto"/>
        <w:jc w:val="right"/>
        <w:rPr>
          <w:rFonts w:ascii="Calibri" w:eastAsia="Times New Roman" w:hAnsi="Calibri" w:cs="Calibri"/>
          <w:b/>
          <w:bCs/>
          <w:iCs/>
          <w:color w:val="767171"/>
          <w:sz w:val="26"/>
          <w:szCs w:val="26"/>
          <w:lang w:eastAsia="es-ES"/>
        </w:rPr>
      </w:pPr>
      <w:r w:rsidRPr="00A8347C">
        <w:rPr>
          <w:rFonts w:ascii="Calibri" w:eastAsia="Times New Roman" w:hAnsi="Calibri" w:cs="Calibri"/>
          <w:b/>
          <w:bCs/>
          <w:iCs/>
          <w:color w:val="767171"/>
          <w:sz w:val="26"/>
          <w:szCs w:val="26"/>
          <w:lang w:eastAsia="es-ES"/>
        </w:rPr>
        <w:t>Expediente número 66</w:t>
      </w:r>
      <w:r w:rsidRPr="00A8347C">
        <w:rPr>
          <w:rFonts w:ascii="Calibri" w:eastAsia="Times New Roman" w:hAnsi="Calibri" w:cs="Calibri"/>
          <w:b/>
          <w:color w:val="767171"/>
          <w:sz w:val="26"/>
          <w:szCs w:val="26"/>
          <w:lang w:eastAsia="es-ES"/>
        </w:rPr>
        <w:t>2</w:t>
      </w:r>
      <w:r w:rsidRPr="00A8347C">
        <w:rPr>
          <w:rFonts w:ascii="Calibri" w:eastAsia="Times New Roman" w:hAnsi="Calibri" w:cs="Calibri"/>
          <w:b/>
          <w:bCs/>
          <w:iCs/>
          <w:color w:val="767171"/>
          <w:sz w:val="26"/>
          <w:szCs w:val="26"/>
          <w:lang w:eastAsia="es-ES"/>
        </w:rPr>
        <w:t>/2doJAM/2017</w:t>
      </w:r>
      <w:r w:rsidRPr="00A8347C">
        <w:rPr>
          <w:rFonts w:ascii="Calibri" w:eastAsia="Times New Roman" w:hAnsi="Calibri" w:cs="Calibri"/>
          <w:b/>
          <w:iCs/>
          <w:color w:val="767171"/>
          <w:sz w:val="26"/>
          <w:szCs w:val="26"/>
          <w:lang w:eastAsia="es-ES"/>
        </w:rPr>
        <w:t>-JN</w:t>
      </w:r>
    </w:p>
    <w:p w:rsidR="00A8347C" w:rsidRPr="00A8347C" w:rsidRDefault="00A8347C" w:rsidP="00A8347C">
      <w:pPr>
        <w:spacing w:after="0" w:line="240" w:lineRule="auto"/>
        <w:ind w:firstLine="708"/>
        <w:jc w:val="both"/>
        <w:rPr>
          <w:rFonts w:ascii="Calibri" w:eastAsia="Times New Roman" w:hAnsi="Calibri" w:cs="Calibri"/>
          <w:color w:val="767171"/>
          <w:lang w:val="es-ES" w:eastAsia="es-ES"/>
        </w:rPr>
      </w:pPr>
    </w:p>
    <w:p w:rsidR="00A8347C" w:rsidRPr="00A8347C" w:rsidRDefault="00A8347C" w:rsidP="00A8347C">
      <w:pPr>
        <w:spacing w:after="0" w:line="240" w:lineRule="auto"/>
        <w:jc w:val="both"/>
        <w:rPr>
          <w:rFonts w:ascii="Calibri" w:eastAsia="Times New Roman" w:hAnsi="Calibri" w:cs="Calibri"/>
          <w:color w:val="767171"/>
          <w:lang w:val="es-ES" w:eastAsia="es-ES"/>
        </w:rPr>
      </w:pPr>
      <w:r w:rsidRPr="00A8347C">
        <w:rPr>
          <w:rFonts w:ascii="Calibri" w:eastAsia="Times New Roman" w:hAnsi="Calibri" w:cs="Calibri"/>
          <w:color w:val="767171"/>
          <w:lang w:val="es-ES" w:eastAsia="es-ES"/>
        </w:rPr>
        <w:t>viernes 27 de noviembre de 2015 a las 11:15 horas en el Semanario Judicial de la Federación y, por ende, se considera de aplicación obligatoria a partir del lunes 30 de noviembre de 2015, para los efectos previstos en el punto séptimo del Acuerdo General Plenario 19/2013. .</w:t>
      </w:r>
      <w:r w:rsidRPr="00A8347C">
        <w:rPr>
          <w:rFonts w:ascii="Calibri" w:eastAsia="Times New Roman" w:hAnsi="Calibri" w:cs="Calibri"/>
          <w:i/>
          <w:color w:val="767171"/>
          <w:lang w:val="es-ES" w:eastAsia="es-ES"/>
        </w:rPr>
        <w:t xml:space="preserve"> . . . . . . . . </w:t>
      </w:r>
    </w:p>
    <w:p w:rsidR="00A8347C" w:rsidRPr="00A8347C" w:rsidRDefault="00A8347C" w:rsidP="00A8347C">
      <w:pPr>
        <w:spacing w:after="0" w:line="240" w:lineRule="auto"/>
        <w:jc w:val="both"/>
        <w:rPr>
          <w:rFonts w:ascii="Calibri" w:eastAsia="Times New Roman" w:hAnsi="Calibri" w:cs="Calibri"/>
          <w:color w:val="767171"/>
          <w:sz w:val="26"/>
          <w:szCs w:val="26"/>
          <w:lang w:val="es-ES" w:eastAsia="es-ES"/>
        </w:rPr>
      </w:pPr>
    </w:p>
    <w:p w:rsidR="00A8347C" w:rsidRPr="00A8347C" w:rsidRDefault="00A8347C" w:rsidP="00A8347C">
      <w:pPr>
        <w:spacing w:after="0" w:line="240" w:lineRule="auto"/>
        <w:ind w:firstLine="708"/>
        <w:jc w:val="both"/>
        <w:rPr>
          <w:rFonts w:ascii="Calibri" w:eastAsia="Times New Roman" w:hAnsi="Calibri" w:cs="Calibri"/>
          <w:i/>
          <w:color w:val="767171"/>
          <w:sz w:val="26"/>
          <w:szCs w:val="26"/>
          <w:lang w:val="es-ES" w:eastAsia="es-ES"/>
        </w:rPr>
      </w:pPr>
      <w:r w:rsidRPr="00A8347C">
        <w:rPr>
          <w:rFonts w:ascii="Calibri" w:eastAsia="Times New Roman" w:hAnsi="Calibri" w:cs="Calibri"/>
          <w:b/>
          <w:i/>
          <w:color w:val="767171"/>
          <w:sz w:val="26"/>
          <w:szCs w:val="26"/>
          <w:lang w:val="es-ES" w:eastAsia="es-ES"/>
        </w:rPr>
        <w:t xml:space="preserve">“CONCEPTOS O AGRAVIOS INOPERANTES. QUÉ DEBE ENTENDERSE POR "RAZONAMIENTO" COMO COMPONENTE DE LA CAUSA DE PEDIR PARA QUE PROCEDA SU ESTUDIO. </w:t>
      </w:r>
      <w:r w:rsidRPr="00A8347C">
        <w:rPr>
          <w:rFonts w:ascii="Calibri" w:eastAsia="Times New Roman" w:hAnsi="Calibri" w:cs="Calibri"/>
          <w:i/>
          <w:color w:val="767171"/>
          <w:sz w:val="26"/>
          <w:szCs w:val="26"/>
          <w:lang w:val="es-ES" w:eastAsia="es-ES"/>
        </w:rPr>
        <w:t xml:space="preserve">De acuerdo con la conceptualización que han desarrollado diversos juristas de la doctrina moderna respecto de los elementos de la causa petendi, se colige que ésta se compone de un hecho y un razonamiento con el que se explique la ilegalidad aducida. Lo que es acorde con la jurisprudencia 1a./J. 81/2002, de la Primera Sala de la Suprema Corte de Justicia de la Nación en el sentido de que la causa de pedir no implica que los quejosos o recurrentes pueden limitarse a realizar meras afirmaciones sin sustento o fundamento, pues a ellos corresponde (salvo en los supuestos de suplencia de la deficiencia de la queja) exponer, razonadamente, por qué estiman inconstitucionales o ilegales los actos que reclaman o recurren; sin embargo, no ha quedado completamente definido qué debe entenderse por razonamiento. Así, conforme a lo que autores destacados han expuesto sobre este último, se establece que un razonamiento jurídico presupone algún problema o cuestión al cual, mediante las distintas formas interpretativas o </w:t>
      </w:r>
      <w:r w:rsidRPr="00A8347C">
        <w:rPr>
          <w:rFonts w:ascii="Calibri" w:eastAsia="Times New Roman" w:hAnsi="Calibri" w:cs="Calibri"/>
          <w:i/>
          <w:color w:val="767171"/>
          <w:sz w:val="26"/>
          <w:szCs w:val="26"/>
          <w:lang w:val="es-ES" w:eastAsia="es-ES"/>
        </w:rPr>
        <w:lastRenderedPageBreak/>
        <w:t>argumentativas que proporciona la lógica formal, material o pragmática, se alcanza una respuesta a partir de inferencias obtenidas de las premisas o juicios dados (hechos y fundamento). Lo que, trasladado al campo judicial, en específico, a los motivos de inconformidad, un verdadero razonamiento (independientemente del modelo argumentativo que se utilice), se traduce a la mínima necesidad de explicar por qué o cómo el acto reclamado, o la resolución recurrida se aparta del derecho, a través de la confrontación de las situaciones fácticas concretas frente a la norma aplicable (de modo tal que evidencie la violación), y la propuesta de solución o conclusión sacada de la conexión entre aquellas premisas (hecho y fundamento). Por consiguiente, en los asuntos que se rigen por el principio de estricto derecho, una alegación que se limita a realizar afirmaciones sin sustento alguno o conclusiones no demostradas, no puede considerarse un verdadero razonamiento y, por ende, debe calificarse como inoperante; sin que sea dable entrar a su estudio so pretexto de la causa de pedir, ya que ésta se conforma de la expresión de un hecho concreto y un razonamiento, entendido por éste, cualquiera que sea el método argumentativo, la exposición en la que el quejoso o recurrente realice la comparación del hecho frente al fundamento correspondiente y su conclusión, deducida del enlace entre uno y otro, de modo que evidencie que el acto reclamado o la resolución que recurre resulta ilegal; pues de lo contrario, de analizar alguna aseveración que no satisfaga esas exigencias, se estaría resolviendo a partir de argumentos no esbozados, lo que se traduciría en una verdadera suplencia de la queja en asuntos en los que dicha figura está vedada.</w:t>
      </w:r>
      <w:r w:rsidRPr="00A8347C">
        <w:rPr>
          <w:rFonts w:ascii="Calibri" w:eastAsia="Times New Roman" w:hAnsi="Calibri" w:cs="Calibri"/>
          <w:color w:val="767171"/>
          <w:lang w:val="es-ES" w:eastAsia="es-ES"/>
        </w:rPr>
        <w:t>Época: Décima Época. Registro: 2010038. Instancia: Tribunales Colegiados de Circuito. Tipo de Tesis: Jurisprudencia. Fuente: Gaceta del Semanario Judicial de la Federación. Libro 22, Septiembre de 2015, Tomo III. Materia(s): Común. Tesis: (V Región</w:t>
      </w:r>
      <w:proofErr w:type="gramStart"/>
      <w:r w:rsidRPr="00A8347C">
        <w:rPr>
          <w:rFonts w:ascii="Calibri" w:eastAsia="Times New Roman" w:hAnsi="Calibri" w:cs="Calibri"/>
          <w:color w:val="767171"/>
          <w:lang w:val="es-ES" w:eastAsia="es-ES"/>
        </w:rPr>
        <w:t>)2o</w:t>
      </w:r>
      <w:proofErr w:type="gramEnd"/>
      <w:r w:rsidRPr="00A8347C">
        <w:rPr>
          <w:rFonts w:ascii="Calibri" w:eastAsia="Times New Roman" w:hAnsi="Calibri" w:cs="Calibri"/>
          <w:color w:val="767171"/>
          <w:lang w:val="es-ES" w:eastAsia="es-ES"/>
        </w:rPr>
        <w:t>. J/1 (10a.). Página: 1683.</w:t>
      </w:r>
      <w:r w:rsidRPr="00A8347C">
        <w:rPr>
          <w:rFonts w:ascii="Calibri" w:eastAsia="Times New Roman" w:hAnsi="Calibri" w:cs="Calibri"/>
          <w:color w:val="767171"/>
          <w:sz w:val="26"/>
          <w:szCs w:val="26"/>
          <w:lang w:val="es-ES" w:eastAsia="es-ES"/>
        </w:rPr>
        <w:t xml:space="preserve"> . </w:t>
      </w:r>
    </w:p>
    <w:p w:rsidR="00A8347C" w:rsidRPr="00A8347C" w:rsidRDefault="00A8347C" w:rsidP="00A8347C">
      <w:pPr>
        <w:spacing w:after="0" w:line="240" w:lineRule="auto"/>
        <w:jc w:val="both"/>
        <w:rPr>
          <w:rFonts w:ascii="Calibri" w:eastAsia="Times New Roman" w:hAnsi="Calibri" w:cs="Calibri"/>
          <w:color w:val="767171"/>
          <w:sz w:val="26"/>
          <w:szCs w:val="26"/>
          <w:lang w:val="es-ES" w:eastAsia="es-ES"/>
        </w:rPr>
      </w:pPr>
    </w:p>
    <w:p w:rsidR="00A8347C" w:rsidRPr="00A8347C" w:rsidRDefault="00A8347C" w:rsidP="00A8347C">
      <w:pPr>
        <w:spacing w:after="0" w:line="240" w:lineRule="auto"/>
        <w:ind w:firstLine="708"/>
        <w:jc w:val="both"/>
        <w:rPr>
          <w:rFonts w:ascii="Calibri" w:eastAsia="Times New Roman" w:hAnsi="Calibri" w:cs="Calibri"/>
          <w:color w:val="767171"/>
          <w:lang w:val="es-ES" w:eastAsia="es-ES"/>
        </w:rPr>
      </w:pPr>
      <w:r w:rsidRPr="00A8347C">
        <w:rPr>
          <w:rFonts w:ascii="Calibri" w:eastAsia="Times New Roman" w:hAnsi="Calibri" w:cs="Calibri"/>
          <w:color w:val="767171"/>
          <w:lang w:val="es-ES" w:eastAsia="es-ES"/>
        </w:rPr>
        <w:t xml:space="preserve">SEGUNDO TRIBUNAL COLEGIADO DE CIRCUITO DEL CENTRO AUXILIAR DE LA QUINTA REGIÓN. Revisión administrativa (Ley Federal de Procedimiento Contencioso Administrativo) 407/2014 (cuaderno auxiliar 920/2014) del índice del Décimo Cuarto Tribunal Colegiado en Materia Administrativa del Primer Circuito, con apoyo del Segundo Tribunal Colegiado de Circuito del Centro Auxiliar de la Quinta Región, con residencia en Culiacán, Sinaloa. Jefe de la Unidad Jurídica de la Delegación Estatal Guerrero del Instituto de Seguridad y Servicios Sociales de los Trabajadores del Estado. 6 de febrero de 2015. Unanimidad de votos. Ponente: Jaime Uriel Torres Hernández. Secretario: Amaury Cárdenas Espinoza. Amparo en revisión 35/2015 (cuaderno auxiliar 258/2015) del índice del Tribunal Colegiado en Materia Civil del Décimo Segundo Circuito, con apoyo del Segundo Tribunal Colegiado de Circuito del Centro Auxiliar de la Quinta Región, con residencia en Culiacán, Sinaloa. Irma Patricia Barraza Beltrán. 30 de abril de 2015. Unanimidad de votos. Ponente: Amaury Cárdenas Espinoza, secretario de tribunal autorizado por la Comisión de Carrera Judicial del Consejo de la Judicatura Federal para desempeñar las funciones de Magistrado, en términos del artículo 81, fracción XXII, de la Ley Orgánica del Poder Judicial de la Federación, en relación con el diverso 40, fracción V, del Acuerdo General del Pleno del Consejo de la Judicatura Federal, que reglamenta la organización y funcionamiento del propio Consejo. Secretaria: Karen Estrella Aguilar Valdés. Revisión administrativa (Ley Federal de Procedimiento Contencioso Administrativo) 446/2014 (cuaderno auxiliar 916/2014) del índice del Décimo Cuarto </w:t>
      </w:r>
      <w:r w:rsidRPr="00A8347C">
        <w:rPr>
          <w:rFonts w:ascii="Calibri" w:eastAsia="Times New Roman" w:hAnsi="Calibri" w:cs="Calibri"/>
          <w:color w:val="767171"/>
          <w:lang w:val="es-ES" w:eastAsia="es-ES"/>
        </w:rPr>
        <w:lastRenderedPageBreak/>
        <w:t>Tribunal Colegiado en Materia Administrativa del Primer Circuito, con apoyo del Segundo Tribunal Colegiado de Circuito del Centro Auxiliar de la Quinta Región, con residencia en Culiacán, Sinaloa. Titular del Área de Responsabilidades del Órgano Interno de Control en Caminos y Puentes Federales de Ingresos y Servicios Conexos. 27 de febrero de 2015. Unanimidad de votos. Ponente: Amaury Cárdenas Espinoza, secretario de tribunal autorizado por la Comisión de Carrera Judicial del Consejo de la Judicatura Federal para desempeñar las funciones de Magistrado, en términos del artículo 81, fracción XXII, de la Ley Orgánica del Poder Judicial de la Federación, en relación con el diverso 40, fracción V, del Acuerdo General del Pleno del Consejo de la Judicatura Federal, que reglamenta la organización y funcionamiento del propio Consejo. Secretaria: Karen Estrella Aguilar Valdés.Amparo en revisión 283/2014 (cuaderno auxiliar 125/2015) del índice del Primer Tribunal Colegiado en Materia Civil del Décimo Primer Circuito, con apoyo del Segundo Tribunal Colegiado de Circuito del Centro Auxiliar de la Quinta Región, con residencia en Culiacán, Sinaloa. Secretaría de Urbanismo y Medio Ambiente del Gobierno del Estado de Michoacán. 14 de mayo de 2015. Unanimidad de votos. Ponente: Amaury Cárdenas Espinoza, secretario de tribunal autorizado por la Comisión de Carrera Judicial del Consejo de la Judicatura Federal para desempeñar las funciones de Magistrado, en términos del artículo 81, fracción XXII, de la Ley Orgánica del Poder Judicial de la Federación, en relación con el diverso 40, fracción V, del Acuerdo General del Pleno del Consejo de la Judicatura Federal, que reglamenta la organización y funcionamiento del propio Consejo. Secretaria: Karen Estrella Aguilar Valdés</w:t>
      </w:r>
      <w:r w:rsidRPr="00A8347C">
        <w:rPr>
          <w:rFonts w:ascii="Calibri" w:eastAsia="Times New Roman" w:hAnsi="Calibri" w:cs="Calibri"/>
          <w:color w:val="767171"/>
          <w:sz w:val="26"/>
          <w:szCs w:val="26"/>
          <w:lang w:val="es-ES" w:eastAsia="es-ES"/>
        </w:rPr>
        <w:t xml:space="preserve">. </w:t>
      </w:r>
      <w:r w:rsidRPr="00A8347C">
        <w:rPr>
          <w:rFonts w:ascii="Calibri" w:eastAsia="Times New Roman" w:hAnsi="Calibri" w:cs="Calibri"/>
          <w:color w:val="767171"/>
          <w:lang w:val="es-ES" w:eastAsia="es-ES"/>
        </w:rPr>
        <w:t>Amparo directo 24/2015 (cuaderno auxiliar 228/2015) del índice del Tribunal Colegiado en Materia Civil del Décimo Segundo Circuito, con apoyo del Segundo Tribunal Colegiado de Circuito del Centro Auxiliar de la Quinta Región, con residencia en Culiacán, Sinaloa. Dora Margarita Quevedo Delgado. 14 de mayo de 2015. Unanimidad de votos. Ponente: Amaury Cárdenas Espinoza, secretario de tribunal autorizado por la Comisión de Carrera Judicial del Consejo de la Judicatura Federal para desempeñar las funciones de Magistrado, en términos del artículo 81, fracción XXII, de la Ley Orgánica del Poder Judicial de la Federación, en relación con el diverso 40, fracción V, del Acuerdo General del Pleno del Consejo de la Judicatura Federal, que reglamenta la organización y funcionamiento del propio Consejo. Secretaria: Manuela Moreno Garzón.Nota: La tesis de jurisprudencia 1a</w:t>
      </w:r>
      <w:proofErr w:type="gramStart"/>
      <w:r w:rsidRPr="00A8347C">
        <w:rPr>
          <w:rFonts w:ascii="Calibri" w:eastAsia="Times New Roman" w:hAnsi="Calibri" w:cs="Calibri"/>
          <w:color w:val="767171"/>
          <w:lang w:val="es-ES" w:eastAsia="es-ES"/>
        </w:rPr>
        <w:t>./</w:t>
      </w:r>
      <w:proofErr w:type="gramEnd"/>
      <w:r w:rsidRPr="00A8347C">
        <w:rPr>
          <w:rFonts w:ascii="Calibri" w:eastAsia="Times New Roman" w:hAnsi="Calibri" w:cs="Calibri"/>
          <w:color w:val="767171"/>
          <w:lang w:val="es-ES" w:eastAsia="es-ES"/>
        </w:rPr>
        <w:t xml:space="preserve">J. 81/2002 citada, aparece publicada en el Semanario Judicial de la Federación y su Gaceta, Novena Época, Tomo XVI, diciembre de 2002, página 61, con el rubro: "CONCEPTOS DE VIOLACIÓN O AGRAVIOS. AUN CUANDO PARA LA PROCEDENCIA DE SU ESTUDIO BASTA CON EXPRESAR LA CAUSA DE PEDIR, ELLO NO IMPLICA QUE LOS QUEJOSOS O RECURRENTES SE LIMITEN A REALIZAR MERAS AFIRMACIONES SIN FUNDAMENTO."Esta tesis se publicó el viernes 25 de septiembre de 2015 a las 10:30 horas en el Semanario Judicial de la Federación y, por ende, se considera de aplicación obligatoria a partir del lunes 28 de septiembre de 2015, para los efectos previstos en el punto séptimo del Acuerdo General Plenario 19/2013. </w:t>
      </w:r>
      <w:r w:rsidRPr="00A8347C">
        <w:rPr>
          <w:rFonts w:ascii="Calibri" w:eastAsia="Times New Roman" w:hAnsi="Calibri" w:cs="Calibri"/>
          <w:i/>
          <w:color w:val="767171"/>
          <w:lang w:val="es-ES" w:eastAsia="es-ES"/>
        </w:rPr>
        <w:t xml:space="preserve">. </w:t>
      </w:r>
    </w:p>
    <w:p w:rsidR="00A8347C" w:rsidRPr="00A8347C" w:rsidRDefault="00A8347C" w:rsidP="00A8347C">
      <w:pPr>
        <w:spacing w:after="0" w:line="240" w:lineRule="auto"/>
        <w:jc w:val="right"/>
        <w:rPr>
          <w:rFonts w:ascii="Calibri" w:eastAsia="Times New Roman" w:hAnsi="Calibri" w:cs="Calibri"/>
          <w:b/>
          <w:bCs/>
          <w:iCs/>
          <w:color w:val="767171"/>
          <w:sz w:val="26"/>
          <w:szCs w:val="26"/>
          <w:lang w:eastAsia="es-ES"/>
        </w:rPr>
      </w:pPr>
      <w:r w:rsidRPr="00A8347C">
        <w:rPr>
          <w:rFonts w:ascii="Times New Roman" w:eastAsia="Times New Roman" w:hAnsi="Times New Roman" w:cs="Times New Roman"/>
          <w:bCs/>
          <w:iCs/>
          <w:color w:val="767171"/>
          <w:sz w:val="26"/>
          <w:lang w:eastAsia="es-ES"/>
        </w:rPr>
        <w:tab/>
      </w:r>
      <w:r w:rsidRPr="00A8347C">
        <w:rPr>
          <w:rFonts w:ascii="Calibri" w:eastAsia="Times New Roman" w:hAnsi="Calibri" w:cs="Calibri"/>
          <w:b/>
          <w:bCs/>
          <w:iCs/>
          <w:color w:val="767171"/>
          <w:sz w:val="26"/>
          <w:szCs w:val="26"/>
          <w:lang w:eastAsia="es-ES"/>
        </w:rPr>
        <w:t>Expediente número 66</w:t>
      </w:r>
      <w:r w:rsidRPr="00A8347C">
        <w:rPr>
          <w:rFonts w:ascii="Calibri" w:eastAsia="Times New Roman" w:hAnsi="Calibri" w:cs="Calibri"/>
          <w:b/>
          <w:color w:val="767171"/>
          <w:sz w:val="26"/>
          <w:szCs w:val="26"/>
          <w:lang w:eastAsia="es-ES"/>
        </w:rPr>
        <w:t>2</w:t>
      </w:r>
      <w:r w:rsidRPr="00A8347C">
        <w:rPr>
          <w:rFonts w:ascii="Calibri" w:eastAsia="Times New Roman" w:hAnsi="Calibri" w:cs="Calibri"/>
          <w:b/>
          <w:bCs/>
          <w:iCs/>
          <w:color w:val="767171"/>
          <w:sz w:val="26"/>
          <w:szCs w:val="26"/>
          <w:lang w:eastAsia="es-ES"/>
        </w:rPr>
        <w:t>/2doJAM/2017</w:t>
      </w:r>
      <w:r w:rsidRPr="00A8347C">
        <w:rPr>
          <w:rFonts w:ascii="Calibri" w:eastAsia="Times New Roman" w:hAnsi="Calibri" w:cs="Calibri"/>
          <w:b/>
          <w:iCs/>
          <w:color w:val="767171"/>
          <w:sz w:val="26"/>
          <w:szCs w:val="26"/>
          <w:lang w:eastAsia="es-ES"/>
        </w:rPr>
        <w:t>-JN</w:t>
      </w:r>
    </w:p>
    <w:p w:rsidR="00A8347C" w:rsidRPr="00A8347C" w:rsidRDefault="00A8347C" w:rsidP="00A8347C">
      <w:pPr>
        <w:spacing w:after="0" w:line="240" w:lineRule="auto"/>
        <w:jc w:val="both"/>
        <w:rPr>
          <w:rFonts w:ascii="Calibri" w:eastAsia="Times New Roman" w:hAnsi="Calibri" w:cs="Calibri"/>
          <w:bCs/>
          <w:i/>
          <w:iCs/>
          <w:color w:val="767171"/>
          <w:sz w:val="26"/>
          <w:szCs w:val="26"/>
          <w:lang w:val="es-ES" w:eastAsia="es-ES"/>
        </w:rPr>
      </w:pPr>
    </w:p>
    <w:p w:rsidR="00A8347C" w:rsidRPr="00A8347C" w:rsidRDefault="00A8347C" w:rsidP="00A8347C">
      <w:pPr>
        <w:spacing w:after="0" w:line="240" w:lineRule="auto"/>
        <w:ind w:firstLine="708"/>
        <w:jc w:val="both"/>
        <w:rPr>
          <w:rFonts w:ascii="Calibri" w:eastAsia="Times New Roman" w:hAnsi="Calibri" w:cs="Calibri"/>
          <w:bCs/>
          <w:color w:val="767171"/>
          <w:sz w:val="26"/>
          <w:szCs w:val="26"/>
          <w:lang w:val="es-ES" w:eastAsia="es-ES"/>
        </w:rPr>
      </w:pPr>
      <w:r w:rsidRPr="00A8347C">
        <w:rPr>
          <w:rFonts w:ascii="Calibri" w:eastAsia="Times New Roman" w:hAnsi="Calibri" w:cs="Calibri"/>
          <w:b/>
          <w:bCs/>
          <w:i/>
          <w:iCs/>
          <w:color w:val="767171"/>
          <w:sz w:val="26"/>
          <w:szCs w:val="26"/>
          <w:lang w:val="es-ES" w:eastAsia="es-ES"/>
        </w:rPr>
        <w:t>SÉPTIMO.</w:t>
      </w:r>
      <w:r w:rsidRPr="00A8347C">
        <w:rPr>
          <w:rFonts w:ascii="Calibri" w:eastAsia="Times New Roman" w:hAnsi="Calibri" w:cs="Calibri"/>
          <w:i/>
          <w:iCs/>
          <w:color w:val="767171"/>
          <w:sz w:val="26"/>
          <w:szCs w:val="26"/>
          <w:lang w:val="es-ES" w:eastAsia="es-ES"/>
        </w:rPr>
        <w:t xml:space="preserve">- </w:t>
      </w:r>
      <w:r w:rsidRPr="00A8347C">
        <w:rPr>
          <w:rFonts w:ascii="Calibri" w:eastAsia="Times New Roman" w:hAnsi="Calibri" w:cs="Calibri"/>
          <w:bCs/>
          <w:color w:val="767171"/>
          <w:sz w:val="26"/>
          <w:szCs w:val="26"/>
          <w:lang w:val="es-ES" w:eastAsia="es-ES"/>
        </w:rPr>
        <w:t xml:space="preserve">De lo solicitado por la parte actora, se encuentra también lo referente al reconocimiento </w:t>
      </w:r>
      <w:r w:rsidRPr="00A8347C">
        <w:rPr>
          <w:rFonts w:ascii="Calibri" w:eastAsia="Times New Roman" w:hAnsi="Calibri" w:cs="Calibri"/>
          <w:color w:val="767171"/>
          <w:sz w:val="26"/>
          <w:szCs w:val="26"/>
          <w:lang w:val="es-ES" w:eastAsia="es-ES"/>
        </w:rPr>
        <w:t>de los derechos que instituyen en su favor diversas normas jurídicas y la condena a la autoridad a efecto de que se restablezca en el ejercicio de sus derechos; acciones previstas en el artículo 255, fracciones II y III del Código de Procedimiento y Justicia Administrativa para el Estado y los Municipios de Guanajuato. . . . . . . . . . . . . . . . . . . . . . . . . . . . . . . . . . . . . . . . . . . . . . .</w:t>
      </w:r>
    </w:p>
    <w:p w:rsidR="00A8347C" w:rsidRPr="00A8347C" w:rsidRDefault="00A8347C" w:rsidP="00A8347C">
      <w:pPr>
        <w:spacing w:after="0" w:line="240" w:lineRule="auto"/>
        <w:jc w:val="both"/>
        <w:rPr>
          <w:rFonts w:ascii="Calibri" w:eastAsia="Times New Roman" w:hAnsi="Calibri" w:cs="Calibri"/>
          <w:b/>
          <w:bCs/>
          <w:color w:val="767171"/>
          <w:szCs w:val="26"/>
          <w:lang w:eastAsia="es-ES"/>
        </w:rPr>
      </w:pPr>
    </w:p>
    <w:p w:rsidR="00A8347C" w:rsidRPr="00A8347C" w:rsidRDefault="00A8347C" w:rsidP="00A8347C">
      <w:pPr>
        <w:spacing w:after="0" w:line="240" w:lineRule="auto"/>
        <w:ind w:firstLine="708"/>
        <w:jc w:val="both"/>
        <w:rPr>
          <w:rFonts w:ascii="Calibri" w:eastAsia="Times New Roman" w:hAnsi="Calibri" w:cs="Calibri"/>
          <w:color w:val="767171"/>
          <w:sz w:val="26"/>
          <w:szCs w:val="26"/>
          <w:lang w:val="es-ES" w:eastAsia="es-ES"/>
        </w:rPr>
      </w:pPr>
      <w:r w:rsidRPr="00A8347C">
        <w:rPr>
          <w:rFonts w:ascii="Calibri" w:eastAsia="Times New Roman" w:hAnsi="Calibri" w:cs="Calibri"/>
          <w:bCs/>
          <w:color w:val="767171"/>
          <w:sz w:val="26"/>
          <w:szCs w:val="26"/>
          <w:lang w:val="es-ES" w:eastAsia="es-ES"/>
        </w:rPr>
        <w:lastRenderedPageBreak/>
        <w:t xml:space="preserve">A </w:t>
      </w:r>
      <w:r w:rsidRPr="00A8347C">
        <w:rPr>
          <w:rFonts w:ascii="Calibri" w:eastAsia="Times New Roman" w:hAnsi="Calibri" w:cs="Calibri"/>
          <w:color w:val="767171"/>
          <w:sz w:val="26"/>
          <w:szCs w:val="26"/>
          <w:lang w:val="es-ES" w:eastAsia="es-ES"/>
        </w:rPr>
        <w:t xml:space="preserve">juicio de este Juzgador, </w:t>
      </w:r>
      <w:r w:rsidRPr="00A8347C">
        <w:rPr>
          <w:rFonts w:ascii="Calibri" w:eastAsia="Times New Roman" w:hAnsi="Calibri" w:cs="Calibri"/>
          <w:b/>
          <w:color w:val="767171"/>
          <w:sz w:val="26"/>
          <w:szCs w:val="26"/>
          <w:lang w:val="es-ES" w:eastAsia="es-ES"/>
        </w:rPr>
        <w:t>no procede</w:t>
      </w:r>
      <w:r w:rsidRPr="00A8347C">
        <w:rPr>
          <w:rFonts w:ascii="Calibri" w:eastAsia="Times New Roman" w:hAnsi="Calibri" w:cs="Calibri"/>
          <w:color w:val="767171"/>
          <w:sz w:val="26"/>
          <w:szCs w:val="26"/>
          <w:lang w:val="es-ES" w:eastAsia="es-ES"/>
        </w:rPr>
        <w:t xml:space="preserve"> hacer pronunciamiento alguno respecto de las pretensiones señaladas, pues al resultar legal y valida la respuesta expresa emitida a la petición del actor; no surge derecho alguno para reclamar las acciones contenidas en las fracciones II y III del Código de Procedimiento y Justicia Administrativa para el Estado y los Municipios de Guanajuato, pues las mismas son accesorias a la de nulidad; que es la acción principal; siguiendo para ello, por analogía, el criterio sostenido por el Pleno del Tribunal de lo Contencioso Administrativo del Estado de Guanajuato, visible en la página 111, ciento once de la publicación denominada “</w:t>
      </w:r>
      <w:r w:rsidRPr="00A8347C">
        <w:rPr>
          <w:rFonts w:ascii="Calibri" w:eastAsia="Times New Roman" w:hAnsi="Calibri" w:cs="Calibri"/>
          <w:i/>
          <w:color w:val="767171"/>
          <w:sz w:val="26"/>
          <w:szCs w:val="26"/>
          <w:lang w:val="es-ES" w:eastAsia="es-ES"/>
        </w:rPr>
        <w:t>Criterios 2000-2008”</w:t>
      </w:r>
      <w:r w:rsidRPr="00A8347C">
        <w:rPr>
          <w:rFonts w:ascii="Calibri" w:eastAsia="Times New Roman" w:hAnsi="Calibri" w:cs="Calibri"/>
          <w:color w:val="767171"/>
          <w:sz w:val="26"/>
          <w:szCs w:val="26"/>
          <w:lang w:val="es-ES" w:eastAsia="es-ES"/>
        </w:rPr>
        <w:t xml:space="preserve"> y que establece: . . . . . . . . . . . . . . . . . . . . . . . . . . . . . . . . . . . . . . . . . . . . . . . . . . . . . . . . </w:t>
      </w:r>
    </w:p>
    <w:p w:rsidR="00A8347C" w:rsidRPr="00A8347C" w:rsidRDefault="00A8347C" w:rsidP="00A8347C">
      <w:pPr>
        <w:spacing w:after="0" w:line="240" w:lineRule="auto"/>
        <w:jc w:val="both"/>
        <w:rPr>
          <w:rFonts w:ascii="Calibri" w:eastAsia="Times New Roman" w:hAnsi="Calibri" w:cs="Calibri"/>
          <w:color w:val="767171"/>
          <w:szCs w:val="26"/>
          <w:lang w:val="es-ES" w:eastAsia="es-ES"/>
        </w:rPr>
      </w:pPr>
    </w:p>
    <w:p w:rsidR="00A8347C" w:rsidRPr="00A8347C" w:rsidRDefault="00A8347C" w:rsidP="00A8347C">
      <w:pPr>
        <w:spacing w:after="0" w:line="240" w:lineRule="auto"/>
        <w:ind w:firstLine="709"/>
        <w:jc w:val="both"/>
        <w:rPr>
          <w:rFonts w:ascii="Calibri" w:eastAsia="Times New Roman" w:hAnsi="Calibri" w:cs="Calibri"/>
          <w:i/>
          <w:iCs/>
          <w:color w:val="767171"/>
          <w:sz w:val="26"/>
          <w:szCs w:val="26"/>
          <w:lang w:val="es-ES" w:eastAsia="es-ES"/>
        </w:rPr>
      </w:pPr>
      <w:r w:rsidRPr="00A8347C">
        <w:rPr>
          <w:rFonts w:ascii="Calibri" w:eastAsia="Times New Roman" w:hAnsi="Calibri" w:cs="Calibri"/>
          <w:b/>
          <w:bCs/>
          <w:i/>
          <w:iCs/>
          <w:color w:val="767171"/>
          <w:sz w:val="26"/>
          <w:szCs w:val="26"/>
          <w:lang w:val="es-ES" w:eastAsia="es-ES"/>
        </w:rPr>
        <w:t>"ACCIONES PREVISTAS EN LAS FRACCIONES II Y III DEL ARTÍCULO 56 DE LA LEY DE JUSTICIA ADMINISTRATIVA DE GUANAJUATO. NATURALEZA ACCESORIA DE LAS.-</w:t>
      </w:r>
      <w:r w:rsidRPr="00A8347C">
        <w:rPr>
          <w:rFonts w:ascii="Calibri" w:eastAsia="Times New Roman" w:hAnsi="Calibri" w:cs="Calibri"/>
          <w:i/>
          <w:iCs/>
          <w:color w:val="767171"/>
          <w:sz w:val="26"/>
          <w:szCs w:val="26"/>
          <w:lang w:val="es-ES" w:eastAsia="es-ES"/>
        </w:rPr>
        <w:t xml:space="preserve">  De las tres acciones precisadas en el artículo 56 de la Ley de Justicia Administrativa de Guanajuato, la correspondiente a la fracción I resulta ser principal respecto a las de reconocimiento del derecho e indemnización de daños y perjuicios contemplados en las restantes fracciones.  Ello es así, porque para hacer procedentes las accesorias o secundarias (fracciones II y III del numeral en cuestión) se requiere inexorablemente la declaratoria de nulidad de un acto o resolución. Ahora bien, habiendo prosperado ésta, puede conllevar ello al reconocimiento de un derecho amparado en una norma jurídica y la adopción de medidas para su pleno restablecimiento e incluso la indemnización por daños y perjuicios causados por el acto demandado que fue declarado nulo;  de tal suerte que de reconocerse la validez del acto reclamado, por encontrarse apegado a derecho, es incuestionable que las restantes acciones perderían su razón de ser." </w:t>
      </w:r>
      <w:r w:rsidRPr="00A8347C">
        <w:rPr>
          <w:rFonts w:ascii="Calibri" w:eastAsia="Times New Roman" w:hAnsi="Calibri" w:cs="Calibri"/>
          <w:color w:val="767171"/>
          <w:sz w:val="26"/>
          <w:szCs w:val="26"/>
          <w:lang w:val="es-ES" w:eastAsia="es-ES"/>
        </w:rPr>
        <w:t>(</w:t>
      </w:r>
      <w:r w:rsidRPr="00A8347C">
        <w:rPr>
          <w:rFonts w:ascii="Calibri" w:eastAsia="Times New Roman" w:hAnsi="Calibri" w:cs="Calibri"/>
          <w:color w:val="767171"/>
          <w:lang w:val="es-ES" w:eastAsia="es-ES"/>
        </w:rPr>
        <w:t>Toca 55/03. Recurso de reclamación promovido por Ricardo Sánchez Acevedo e Isidro Sánchez Rangel. Resolución de fecha 13 de agosto de 2003</w:t>
      </w:r>
      <w:r w:rsidRPr="00A8347C">
        <w:rPr>
          <w:rFonts w:ascii="Calibri" w:eastAsia="Times New Roman" w:hAnsi="Calibri" w:cs="Calibri"/>
          <w:color w:val="767171"/>
          <w:sz w:val="26"/>
          <w:szCs w:val="26"/>
          <w:lang w:val="es-ES" w:eastAsia="es-ES"/>
        </w:rPr>
        <w:t xml:space="preserve">). . . . . . . . . . . . . . . . . . . . . . . . . . . . . . . . . </w:t>
      </w:r>
    </w:p>
    <w:p w:rsidR="00A8347C" w:rsidRPr="00A8347C" w:rsidRDefault="00A8347C" w:rsidP="00A8347C">
      <w:pPr>
        <w:spacing w:after="0" w:line="240" w:lineRule="auto"/>
        <w:jc w:val="both"/>
        <w:rPr>
          <w:rFonts w:ascii="Calibri" w:eastAsia="Times New Roman" w:hAnsi="Calibri" w:cs="Times New Roman"/>
          <w:bCs/>
          <w:iCs/>
          <w:color w:val="767171"/>
          <w:sz w:val="26"/>
          <w:szCs w:val="26"/>
          <w:lang w:eastAsia="es-ES"/>
        </w:rPr>
      </w:pPr>
    </w:p>
    <w:p w:rsidR="00A8347C" w:rsidRPr="00A8347C" w:rsidRDefault="00A8347C" w:rsidP="00A8347C">
      <w:pPr>
        <w:spacing w:after="0" w:line="240" w:lineRule="auto"/>
        <w:ind w:firstLine="708"/>
        <w:jc w:val="both"/>
        <w:rPr>
          <w:rFonts w:ascii="Calibri" w:eastAsia="Times New Roman" w:hAnsi="Calibri" w:cs="Calibri"/>
          <w:color w:val="767171"/>
          <w:sz w:val="26"/>
          <w:szCs w:val="26"/>
          <w:lang w:eastAsia="es-ES"/>
        </w:rPr>
      </w:pPr>
      <w:r w:rsidRPr="00A8347C">
        <w:rPr>
          <w:rFonts w:ascii="Calibri" w:eastAsia="Times New Roman" w:hAnsi="Calibri" w:cs="Calibri"/>
          <w:color w:val="767171"/>
          <w:sz w:val="26"/>
          <w:szCs w:val="26"/>
          <w:lang w:eastAsia="es-ES"/>
        </w:rPr>
        <w:t xml:space="preserve">Por lo anteriormente expuesto, y con fundamento además en lo dispuesto en los artículos 249, 287, 298, 299 y 300, fracción I, del Código de Procedimiento y Justicia Administrativa para el Estado y los Municipios de Guanajuato, es de resolverse y se. . . . . . . . . . . . . . . . . . . . . . . . . . . . . . . . . . . . . . . . . . . . . . . . . . . . . . . . . </w:t>
      </w:r>
    </w:p>
    <w:p w:rsidR="00A8347C" w:rsidRPr="00A8347C" w:rsidRDefault="00A8347C" w:rsidP="00A8347C">
      <w:pPr>
        <w:spacing w:after="0" w:line="240" w:lineRule="auto"/>
        <w:ind w:firstLine="708"/>
        <w:jc w:val="both"/>
        <w:rPr>
          <w:rFonts w:ascii="Calibri" w:eastAsia="Times New Roman" w:hAnsi="Calibri" w:cs="Calibri"/>
          <w:color w:val="767171"/>
          <w:szCs w:val="26"/>
          <w:lang w:eastAsia="es-ES"/>
        </w:rPr>
      </w:pPr>
    </w:p>
    <w:p w:rsidR="00A8347C" w:rsidRPr="00A8347C" w:rsidRDefault="00A8347C" w:rsidP="00A8347C">
      <w:pPr>
        <w:spacing w:after="0" w:line="240" w:lineRule="auto"/>
        <w:jc w:val="center"/>
        <w:rPr>
          <w:rFonts w:ascii="Calibri" w:eastAsia="Times New Roman" w:hAnsi="Calibri" w:cs="Calibri"/>
          <w:i/>
          <w:iCs/>
          <w:color w:val="767171"/>
          <w:sz w:val="26"/>
          <w:szCs w:val="26"/>
          <w:lang w:eastAsia="es-ES"/>
        </w:rPr>
      </w:pPr>
      <w:r w:rsidRPr="00A8347C">
        <w:rPr>
          <w:rFonts w:ascii="Calibri" w:eastAsia="Times New Roman" w:hAnsi="Calibri" w:cs="Calibri"/>
          <w:b/>
          <w:i/>
          <w:iCs/>
          <w:color w:val="767171"/>
          <w:sz w:val="26"/>
          <w:szCs w:val="26"/>
          <w:lang w:eastAsia="es-ES"/>
        </w:rPr>
        <w:t xml:space="preserve">R E S U E L V </w:t>
      </w:r>
      <w:proofErr w:type="gramStart"/>
      <w:r w:rsidRPr="00A8347C">
        <w:rPr>
          <w:rFonts w:ascii="Calibri" w:eastAsia="Times New Roman" w:hAnsi="Calibri" w:cs="Calibri"/>
          <w:b/>
          <w:i/>
          <w:iCs/>
          <w:color w:val="767171"/>
          <w:sz w:val="26"/>
          <w:szCs w:val="26"/>
          <w:lang w:eastAsia="es-ES"/>
        </w:rPr>
        <w:t xml:space="preserve">E </w:t>
      </w:r>
      <w:r w:rsidRPr="00A8347C">
        <w:rPr>
          <w:rFonts w:ascii="Calibri" w:eastAsia="Times New Roman" w:hAnsi="Calibri" w:cs="Calibri"/>
          <w:i/>
          <w:iCs/>
          <w:color w:val="767171"/>
          <w:sz w:val="26"/>
          <w:szCs w:val="26"/>
          <w:lang w:eastAsia="es-ES"/>
        </w:rPr>
        <w:t>:</w:t>
      </w:r>
      <w:proofErr w:type="gramEnd"/>
    </w:p>
    <w:p w:rsidR="00A8347C" w:rsidRPr="00A8347C" w:rsidRDefault="00A8347C" w:rsidP="00A8347C">
      <w:pPr>
        <w:spacing w:after="0" w:line="240" w:lineRule="auto"/>
        <w:jc w:val="both"/>
        <w:rPr>
          <w:rFonts w:ascii="Calibri" w:eastAsia="Times New Roman" w:hAnsi="Calibri" w:cs="Calibri"/>
          <w:color w:val="767171"/>
          <w:szCs w:val="26"/>
          <w:lang w:eastAsia="es-ES"/>
        </w:rPr>
      </w:pPr>
    </w:p>
    <w:p w:rsidR="00A8347C" w:rsidRPr="00A8347C" w:rsidRDefault="00A8347C" w:rsidP="00A8347C">
      <w:pPr>
        <w:spacing w:after="0" w:line="240" w:lineRule="auto"/>
        <w:ind w:firstLine="708"/>
        <w:jc w:val="both"/>
        <w:rPr>
          <w:rFonts w:ascii="Calibri" w:eastAsia="Times New Roman" w:hAnsi="Calibri" w:cs="Calibri"/>
          <w:color w:val="767171"/>
          <w:sz w:val="26"/>
          <w:szCs w:val="26"/>
          <w:lang w:eastAsia="es-ES"/>
        </w:rPr>
      </w:pPr>
      <w:r w:rsidRPr="00A8347C">
        <w:rPr>
          <w:rFonts w:ascii="Calibri" w:eastAsia="Times New Roman" w:hAnsi="Calibri" w:cs="Calibri"/>
          <w:b/>
          <w:bCs/>
          <w:i/>
          <w:iCs/>
          <w:color w:val="767171"/>
          <w:sz w:val="26"/>
          <w:szCs w:val="26"/>
          <w:lang w:eastAsia="es-ES"/>
        </w:rPr>
        <w:t>PRIMERO.-</w:t>
      </w:r>
      <w:r w:rsidRPr="00A8347C">
        <w:rPr>
          <w:rFonts w:ascii="Calibri" w:eastAsia="Times New Roman" w:hAnsi="Calibri" w:cs="Calibri"/>
          <w:color w:val="767171"/>
          <w:sz w:val="26"/>
          <w:szCs w:val="26"/>
          <w:lang w:eastAsia="es-ES"/>
        </w:rPr>
        <w:t xml:space="preserve"> Este Juzgado Segundo Administrativo Municipal determina ser </w:t>
      </w:r>
      <w:r w:rsidRPr="00A8347C">
        <w:rPr>
          <w:rFonts w:ascii="Calibri" w:eastAsia="Times New Roman" w:hAnsi="Calibri" w:cs="Calibri"/>
          <w:b/>
          <w:color w:val="767171"/>
          <w:sz w:val="26"/>
          <w:szCs w:val="26"/>
          <w:lang w:eastAsia="es-ES"/>
        </w:rPr>
        <w:t>competente</w:t>
      </w:r>
      <w:r w:rsidRPr="00A8347C">
        <w:rPr>
          <w:rFonts w:ascii="Calibri" w:eastAsia="Times New Roman" w:hAnsi="Calibri" w:cs="Calibri"/>
          <w:color w:val="767171"/>
          <w:sz w:val="26"/>
          <w:szCs w:val="26"/>
          <w:lang w:eastAsia="es-ES"/>
        </w:rPr>
        <w:t xml:space="preserve"> para conocer y resolver del presente proceso administrativo. . . . . . . </w:t>
      </w:r>
    </w:p>
    <w:p w:rsidR="00A8347C" w:rsidRPr="00A8347C" w:rsidRDefault="00A8347C" w:rsidP="00A8347C">
      <w:pPr>
        <w:spacing w:after="0" w:line="240" w:lineRule="auto"/>
        <w:jc w:val="both"/>
        <w:rPr>
          <w:rFonts w:ascii="Calibri" w:eastAsia="Times New Roman" w:hAnsi="Calibri" w:cs="Calibri"/>
          <w:color w:val="767171"/>
          <w:szCs w:val="26"/>
          <w:lang w:eastAsia="es-ES"/>
        </w:rPr>
      </w:pPr>
    </w:p>
    <w:p w:rsidR="00A8347C" w:rsidRPr="00A8347C" w:rsidRDefault="00A8347C" w:rsidP="00A8347C">
      <w:pPr>
        <w:spacing w:after="0" w:line="240" w:lineRule="auto"/>
        <w:ind w:firstLine="708"/>
        <w:jc w:val="both"/>
        <w:rPr>
          <w:rFonts w:ascii="Calibri" w:eastAsia="Times New Roman" w:hAnsi="Calibri" w:cs="Calibri"/>
          <w:color w:val="767171"/>
          <w:sz w:val="26"/>
          <w:szCs w:val="26"/>
          <w:lang w:eastAsia="es-ES"/>
        </w:rPr>
      </w:pPr>
      <w:r w:rsidRPr="00A8347C">
        <w:rPr>
          <w:rFonts w:ascii="Calibri" w:eastAsia="Times New Roman" w:hAnsi="Calibri" w:cs="Calibri"/>
          <w:b/>
          <w:bCs/>
          <w:i/>
          <w:iCs/>
          <w:color w:val="767171"/>
          <w:sz w:val="26"/>
          <w:szCs w:val="26"/>
          <w:lang w:eastAsia="es-ES"/>
        </w:rPr>
        <w:t xml:space="preserve">SEGUNDO.- </w:t>
      </w:r>
      <w:r w:rsidRPr="00A8347C">
        <w:rPr>
          <w:rFonts w:ascii="Calibri" w:eastAsia="Times New Roman" w:hAnsi="Calibri" w:cs="Calibri"/>
          <w:color w:val="767171"/>
          <w:sz w:val="26"/>
          <w:szCs w:val="26"/>
          <w:lang w:eastAsia="es-ES"/>
        </w:rPr>
        <w:t xml:space="preserve">Resulta </w:t>
      </w:r>
      <w:r w:rsidRPr="00A8347C">
        <w:rPr>
          <w:rFonts w:ascii="Calibri" w:eastAsia="Times New Roman" w:hAnsi="Calibri" w:cs="Calibri"/>
          <w:b/>
          <w:color w:val="767171"/>
          <w:sz w:val="26"/>
          <w:szCs w:val="26"/>
          <w:lang w:eastAsia="es-ES"/>
        </w:rPr>
        <w:t>procedente</w:t>
      </w:r>
      <w:r w:rsidRPr="00A8347C">
        <w:rPr>
          <w:rFonts w:ascii="Calibri" w:eastAsia="Times New Roman" w:hAnsi="Calibri" w:cs="Calibri"/>
          <w:color w:val="767171"/>
          <w:sz w:val="26"/>
          <w:szCs w:val="26"/>
          <w:lang w:eastAsia="es-ES"/>
        </w:rPr>
        <w:t xml:space="preserve"> el proceso administrativo interpuesto por el ciudadano *****. . . . . . . . . . . . . . . . . . . . . . . . . . . . . . . . . . . .</w:t>
      </w:r>
    </w:p>
    <w:p w:rsidR="00A8347C" w:rsidRPr="00A8347C" w:rsidRDefault="00A8347C" w:rsidP="00A8347C">
      <w:pPr>
        <w:spacing w:after="0" w:line="240" w:lineRule="auto"/>
        <w:ind w:firstLine="708"/>
        <w:jc w:val="both"/>
        <w:rPr>
          <w:rFonts w:ascii="Calibri" w:eastAsia="Times New Roman" w:hAnsi="Calibri" w:cs="Calibri"/>
          <w:color w:val="767171"/>
          <w:sz w:val="16"/>
          <w:szCs w:val="16"/>
          <w:lang w:eastAsia="es-ES"/>
        </w:rPr>
      </w:pPr>
    </w:p>
    <w:p w:rsidR="00A8347C" w:rsidRPr="00A8347C" w:rsidRDefault="00A8347C" w:rsidP="00A8347C">
      <w:pPr>
        <w:spacing w:after="0" w:line="240" w:lineRule="auto"/>
        <w:ind w:firstLine="708"/>
        <w:jc w:val="both"/>
        <w:rPr>
          <w:rFonts w:ascii="Calibri" w:eastAsia="Times New Roman" w:hAnsi="Calibri" w:cs="Calibri"/>
          <w:bCs/>
          <w:color w:val="767171"/>
          <w:sz w:val="26"/>
          <w:szCs w:val="26"/>
          <w:lang w:eastAsia="es-ES"/>
        </w:rPr>
      </w:pPr>
      <w:r w:rsidRPr="00A8347C">
        <w:rPr>
          <w:rFonts w:ascii="Calibri" w:eastAsia="Times New Roman" w:hAnsi="Calibri" w:cs="Calibri"/>
          <w:b/>
          <w:bCs/>
          <w:i/>
          <w:iCs/>
          <w:color w:val="767171"/>
          <w:sz w:val="26"/>
          <w:szCs w:val="26"/>
          <w:lang w:eastAsia="es-ES"/>
        </w:rPr>
        <w:lastRenderedPageBreak/>
        <w:t xml:space="preserve">TERCERO.- </w:t>
      </w:r>
      <w:r w:rsidRPr="00A8347C">
        <w:rPr>
          <w:rFonts w:ascii="Calibri" w:eastAsia="Times New Roman" w:hAnsi="Calibri" w:cs="Calibri"/>
          <w:color w:val="767171"/>
          <w:sz w:val="26"/>
          <w:szCs w:val="26"/>
          <w:lang w:eastAsia="es-ES"/>
        </w:rPr>
        <w:t xml:space="preserve">Se </w:t>
      </w:r>
      <w:r w:rsidRPr="00A8347C">
        <w:rPr>
          <w:rFonts w:ascii="Calibri" w:eastAsia="Times New Roman" w:hAnsi="Calibri" w:cs="Calibri"/>
          <w:b/>
          <w:color w:val="767171"/>
          <w:sz w:val="26"/>
          <w:szCs w:val="26"/>
          <w:lang w:eastAsia="es-ES"/>
        </w:rPr>
        <w:t xml:space="preserve">reconoce la legalidad y validez </w:t>
      </w:r>
      <w:r w:rsidRPr="00A8347C">
        <w:rPr>
          <w:rFonts w:ascii="Calibri" w:eastAsia="Times New Roman" w:hAnsi="Calibri" w:cs="Calibri"/>
          <w:color w:val="767171"/>
          <w:sz w:val="26"/>
          <w:szCs w:val="26"/>
          <w:lang w:eastAsia="es-ES"/>
        </w:rPr>
        <w:t xml:space="preserve">de </w:t>
      </w:r>
      <w:r w:rsidRPr="00A8347C">
        <w:rPr>
          <w:rFonts w:ascii="Calibri" w:eastAsia="Times New Roman" w:hAnsi="Calibri" w:cs="Calibri"/>
          <w:bCs/>
          <w:color w:val="767171"/>
          <w:sz w:val="26"/>
          <w:szCs w:val="26"/>
          <w:lang w:eastAsia="es-ES"/>
        </w:rPr>
        <w:t xml:space="preserve">la respuesta expresa dada por el ciudadano ***** -Síndico Segundo del Ayuntamiento de León, Guanajuato y Consejero del Sistema de Agua Potable y Alcantarillado de León-; al ciudadano </w:t>
      </w:r>
      <w:r w:rsidRPr="00A8347C">
        <w:rPr>
          <w:rFonts w:ascii="Calibri" w:eastAsia="Times New Roman" w:hAnsi="Calibri" w:cs="Calibri"/>
          <w:color w:val="767171"/>
          <w:sz w:val="26"/>
          <w:szCs w:val="26"/>
          <w:lang w:eastAsia="es-ES"/>
        </w:rPr>
        <w:t>*****</w:t>
      </w:r>
      <w:r w:rsidRPr="00A8347C">
        <w:rPr>
          <w:rFonts w:ascii="Calibri" w:eastAsia="Times New Roman" w:hAnsi="Calibri" w:cs="Calibri"/>
          <w:bCs/>
          <w:color w:val="767171"/>
          <w:sz w:val="26"/>
          <w:szCs w:val="26"/>
          <w:lang w:eastAsia="es-ES"/>
        </w:rPr>
        <w:t>, mediante la contestación de demanda de fecha 6 seis de julio de este año y notificado el día 13 trece de ese mismo mes y año</w:t>
      </w:r>
      <w:r w:rsidRPr="00A8347C">
        <w:rPr>
          <w:rFonts w:ascii="Calibri" w:eastAsia="Times New Roman" w:hAnsi="Calibri" w:cs="Calibri"/>
          <w:color w:val="767171"/>
          <w:sz w:val="26"/>
          <w:szCs w:val="26"/>
          <w:lang w:eastAsia="es-ES"/>
        </w:rPr>
        <w:t xml:space="preserve">; ello de acuerdo a las consideraciones lógicas y jurídicas expresadas en el Considerando Sexto de la presente sentencia. . </w:t>
      </w:r>
      <w:r w:rsidRPr="00A8347C">
        <w:rPr>
          <w:rFonts w:ascii="Calibri" w:eastAsia="Times New Roman" w:hAnsi="Calibri" w:cs="Calibri"/>
          <w:bCs/>
          <w:color w:val="767171"/>
          <w:sz w:val="26"/>
          <w:szCs w:val="26"/>
          <w:lang w:eastAsia="es-ES"/>
        </w:rPr>
        <w:t xml:space="preserve">. . . . . . . . . . . . . . </w:t>
      </w:r>
    </w:p>
    <w:p w:rsidR="00A8347C" w:rsidRPr="00A8347C" w:rsidRDefault="00A8347C" w:rsidP="00A8347C">
      <w:pPr>
        <w:spacing w:after="0" w:line="240" w:lineRule="auto"/>
        <w:jc w:val="both"/>
        <w:rPr>
          <w:rFonts w:ascii="Calibri" w:eastAsia="Times New Roman" w:hAnsi="Calibri" w:cs="Calibri"/>
          <w:color w:val="767171"/>
          <w:sz w:val="16"/>
          <w:szCs w:val="16"/>
          <w:lang w:eastAsia="es-ES"/>
        </w:rPr>
      </w:pPr>
    </w:p>
    <w:p w:rsidR="00A8347C" w:rsidRPr="00A8347C" w:rsidRDefault="00A8347C" w:rsidP="00A8347C">
      <w:pPr>
        <w:spacing w:after="0" w:line="240" w:lineRule="auto"/>
        <w:ind w:firstLine="708"/>
        <w:jc w:val="both"/>
        <w:rPr>
          <w:rFonts w:ascii="Calibri" w:eastAsia="Times New Roman" w:hAnsi="Calibri" w:cs="Calibri"/>
          <w:bCs/>
          <w:color w:val="767171"/>
          <w:sz w:val="26"/>
          <w:szCs w:val="26"/>
          <w:lang w:val="es-ES" w:eastAsia="es-ES"/>
        </w:rPr>
      </w:pPr>
      <w:r w:rsidRPr="00A8347C">
        <w:rPr>
          <w:rFonts w:ascii="Calibri" w:eastAsia="Times New Roman" w:hAnsi="Calibri" w:cs="Calibri"/>
          <w:b/>
          <w:bCs/>
          <w:i/>
          <w:iCs/>
          <w:color w:val="767171"/>
          <w:sz w:val="26"/>
          <w:szCs w:val="26"/>
          <w:lang w:val="es-ES" w:eastAsia="es-ES"/>
        </w:rPr>
        <w:t xml:space="preserve">CUARTO.- </w:t>
      </w:r>
      <w:r w:rsidRPr="00A8347C">
        <w:rPr>
          <w:rFonts w:ascii="Calibri" w:eastAsia="Times New Roman" w:hAnsi="Calibri" w:cs="Calibri"/>
          <w:b/>
          <w:bCs/>
          <w:iCs/>
          <w:color w:val="767171"/>
          <w:sz w:val="26"/>
          <w:szCs w:val="26"/>
          <w:lang w:val="es-ES" w:eastAsia="es-ES"/>
        </w:rPr>
        <w:t xml:space="preserve">No ha lugar </w:t>
      </w:r>
      <w:r w:rsidRPr="00A8347C">
        <w:rPr>
          <w:rFonts w:ascii="Calibri" w:eastAsia="Times New Roman" w:hAnsi="Calibri" w:cs="Calibri"/>
          <w:bCs/>
          <w:color w:val="767171"/>
          <w:sz w:val="26"/>
          <w:szCs w:val="26"/>
          <w:lang w:val="es-ES" w:eastAsia="es-ES"/>
        </w:rPr>
        <w:t xml:space="preserve">a pronunciarse ni sobre el reconocimiento, ni al restablecimiento de derecho alguno, atento a lo señalado en el Considerando Séptimo de esta </w:t>
      </w:r>
      <w:r w:rsidRPr="00A8347C">
        <w:rPr>
          <w:rFonts w:ascii="Calibri" w:eastAsia="Times New Roman" w:hAnsi="Calibri" w:cs="Calibri"/>
          <w:color w:val="767171"/>
          <w:sz w:val="26"/>
          <w:szCs w:val="26"/>
          <w:lang w:val="es-ES" w:eastAsia="es-ES"/>
        </w:rPr>
        <w:t>resolución</w:t>
      </w:r>
      <w:r w:rsidRPr="00A8347C">
        <w:rPr>
          <w:rFonts w:ascii="Calibri" w:eastAsia="Times New Roman" w:hAnsi="Calibri" w:cs="Calibri"/>
          <w:bCs/>
          <w:color w:val="767171"/>
          <w:sz w:val="26"/>
          <w:szCs w:val="26"/>
          <w:lang w:val="es-ES" w:eastAsia="es-ES"/>
        </w:rPr>
        <w:t xml:space="preserve">. . . . . . . . . . . . . . . . . . . . . . . . . . . . . . . . . . . . . . . . . . . . . . </w:t>
      </w:r>
    </w:p>
    <w:p w:rsidR="00A8347C" w:rsidRPr="00A8347C" w:rsidRDefault="00A8347C" w:rsidP="00A8347C">
      <w:pPr>
        <w:spacing w:after="0" w:line="240" w:lineRule="auto"/>
        <w:jc w:val="both"/>
        <w:rPr>
          <w:rFonts w:ascii="Calibri" w:eastAsia="Times New Roman" w:hAnsi="Calibri" w:cs="Calibri"/>
          <w:color w:val="767171"/>
          <w:szCs w:val="26"/>
          <w:lang w:eastAsia="es-ES"/>
        </w:rPr>
      </w:pPr>
    </w:p>
    <w:p w:rsidR="00A8347C" w:rsidRPr="00A8347C" w:rsidRDefault="00A8347C" w:rsidP="00A8347C">
      <w:pPr>
        <w:spacing w:after="0" w:line="240" w:lineRule="auto"/>
        <w:ind w:firstLine="708"/>
        <w:jc w:val="both"/>
        <w:rPr>
          <w:rFonts w:ascii="Calibri" w:eastAsia="Times New Roman" w:hAnsi="Calibri" w:cs="Calibri"/>
          <w:color w:val="767171"/>
          <w:sz w:val="26"/>
          <w:szCs w:val="26"/>
          <w:lang w:eastAsia="es-ES"/>
        </w:rPr>
      </w:pPr>
      <w:r w:rsidRPr="00A8347C">
        <w:rPr>
          <w:rFonts w:ascii="Calibri" w:eastAsia="Times New Roman" w:hAnsi="Calibri" w:cs="Calibri"/>
          <w:color w:val="767171"/>
          <w:sz w:val="26"/>
          <w:szCs w:val="26"/>
          <w:lang w:eastAsia="es-ES"/>
        </w:rPr>
        <w:t xml:space="preserve">Notifíquese a la autoridad demandada por oficio y a la parte actora personalmente. . . . . . . . . . . . . . . . . . . . . . . . . . . . . . . . . . . . . . . . . . . . . . . . . . . . . . . . </w:t>
      </w:r>
    </w:p>
    <w:p w:rsidR="00A8347C" w:rsidRPr="00A8347C" w:rsidRDefault="00A8347C" w:rsidP="00A8347C">
      <w:pPr>
        <w:spacing w:after="0" w:line="240" w:lineRule="auto"/>
        <w:jc w:val="both"/>
        <w:rPr>
          <w:rFonts w:ascii="Calibri" w:eastAsia="Times New Roman" w:hAnsi="Calibri" w:cs="Calibri"/>
          <w:color w:val="767171"/>
          <w:szCs w:val="26"/>
          <w:lang w:eastAsia="es-ES"/>
        </w:rPr>
      </w:pPr>
    </w:p>
    <w:p w:rsidR="00A8347C" w:rsidRPr="00A8347C" w:rsidRDefault="00A8347C" w:rsidP="00A8347C">
      <w:pPr>
        <w:spacing w:after="0" w:line="240" w:lineRule="auto"/>
        <w:jc w:val="both"/>
        <w:rPr>
          <w:rFonts w:ascii="Calibri" w:eastAsia="Times New Roman" w:hAnsi="Calibri" w:cs="Calibri"/>
          <w:b/>
          <w:bCs/>
          <w:color w:val="767171"/>
          <w:sz w:val="26"/>
          <w:szCs w:val="26"/>
          <w:lang w:eastAsia="es-ES"/>
        </w:rPr>
      </w:pPr>
      <w:r w:rsidRPr="00A8347C">
        <w:rPr>
          <w:rFonts w:ascii="Calibri" w:eastAsia="Times New Roman" w:hAnsi="Calibri" w:cs="Calibri"/>
          <w:color w:val="767171"/>
          <w:sz w:val="26"/>
          <w:szCs w:val="26"/>
          <w:lang w:eastAsia="es-ES"/>
        </w:rPr>
        <w:tab/>
        <w:t>En su oportunidad, archívese este expediente, como asunto totalmente concluido y dése de baja en el Libro de Registros que se lleva para tal efecto. . . . .</w:t>
      </w:r>
    </w:p>
    <w:p w:rsidR="00A8347C" w:rsidRPr="00A8347C" w:rsidRDefault="00A8347C" w:rsidP="00A8347C">
      <w:pPr>
        <w:spacing w:after="0" w:line="240" w:lineRule="auto"/>
        <w:jc w:val="both"/>
        <w:rPr>
          <w:rFonts w:ascii="Calibri" w:eastAsia="Times New Roman" w:hAnsi="Calibri" w:cs="Calibri"/>
          <w:color w:val="767171"/>
          <w:sz w:val="20"/>
          <w:szCs w:val="20"/>
          <w:lang w:eastAsia="es-ES"/>
        </w:rPr>
      </w:pPr>
    </w:p>
    <w:p w:rsidR="00A8347C" w:rsidRPr="00A8347C" w:rsidRDefault="00A8347C" w:rsidP="00A8347C">
      <w:pPr>
        <w:spacing w:after="0" w:line="240" w:lineRule="auto"/>
        <w:ind w:firstLine="708"/>
        <w:jc w:val="both"/>
        <w:rPr>
          <w:rFonts w:ascii="Calibri" w:eastAsia="Times New Roman" w:hAnsi="Calibri" w:cs="Calibri"/>
          <w:color w:val="767171"/>
          <w:sz w:val="26"/>
          <w:szCs w:val="26"/>
          <w:lang w:eastAsia="es-ES"/>
        </w:rPr>
      </w:pPr>
      <w:r w:rsidRPr="00A8347C">
        <w:rPr>
          <w:rFonts w:ascii="Calibri" w:eastAsia="Times New Roman" w:hAnsi="Calibri" w:cs="Calibri"/>
          <w:color w:val="767171"/>
          <w:sz w:val="26"/>
          <w:szCs w:val="26"/>
          <w:lang w:eastAsia="es-ES"/>
        </w:rPr>
        <w:t xml:space="preserve">Así lo resolvió y firma el Licenciado </w:t>
      </w:r>
      <w:r w:rsidRPr="00A8347C">
        <w:rPr>
          <w:rFonts w:ascii="Calibri" w:eastAsia="Times New Roman" w:hAnsi="Calibri" w:cs="Calibri"/>
          <w:b/>
          <w:bCs/>
          <w:color w:val="767171"/>
          <w:sz w:val="26"/>
          <w:szCs w:val="26"/>
          <w:lang w:eastAsia="es-ES"/>
        </w:rPr>
        <w:t>Ernesto Alejandro Mora Álvarez</w:t>
      </w:r>
      <w:r w:rsidRPr="00A8347C">
        <w:rPr>
          <w:rFonts w:ascii="Calibri" w:eastAsia="Times New Roman" w:hAnsi="Calibri" w:cs="Calibri"/>
          <w:color w:val="767171"/>
          <w:sz w:val="26"/>
          <w:szCs w:val="26"/>
          <w:lang w:eastAsia="es-ES"/>
        </w:rPr>
        <w:t xml:space="preserve">, Juez Segundo Administrativo municipal de León, Guanajuato, quien actúa asistido en forma legal con Secretaria de Estudio y Cuenta, la Licenciada </w:t>
      </w:r>
      <w:r w:rsidRPr="00A8347C">
        <w:rPr>
          <w:rFonts w:ascii="Calibri" w:eastAsia="Times New Roman" w:hAnsi="Calibri" w:cs="Calibri"/>
          <w:b/>
          <w:bCs/>
          <w:color w:val="767171"/>
          <w:sz w:val="26"/>
          <w:szCs w:val="26"/>
          <w:lang w:eastAsia="es-ES"/>
        </w:rPr>
        <w:t>María del Rocío Villanueva Sánchez</w:t>
      </w:r>
      <w:r w:rsidRPr="00A8347C">
        <w:rPr>
          <w:rFonts w:ascii="Calibri" w:eastAsia="Times New Roman" w:hAnsi="Calibri" w:cs="Calibri"/>
          <w:color w:val="767171"/>
          <w:sz w:val="26"/>
          <w:szCs w:val="26"/>
          <w:lang w:eastAsia="es-ES"/>
        </w:rPr>
        <w:t>,  quien da fe. . . . . . . . . . . . . . . . . . . . . . . . . . . . . . . . . . . . . . . . . .</w:t>
      </w:r>
    </w:p>
    <w:p w:rsidR="00AB1F38" w:rsidRDefault="00A8347C"/>
    <w:sectPr w:rsidR="00AB1F38" w:rsidSect="0089578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grammar="clean"/>
  <w:defaultTabStop w:val="708"/>
  <w:hyphenationZone w:val="425"/>
  <w:characterSpacingControl w:val="doNotCompress"/>
  <w:compat/>
  <w:rsids>
    <w:rsidRoot w:val="00A8347C"/>
    <w:rsid w:val="007E154C"/>
    <w:rsid w:val="00814A01"/>
    <w:rsid w:val="0089578F"/>
    <w:rsid w:val="00A8347C"/>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78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apal.gob.mx" TargetMode="External"/><Relationship Id="rId4" Type="http://schemas.openxmlformats.org/officeDocument/2006/relationships/hyperlink" Target="http://www.sapal.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6547</Words>
  <Characters>36014</Characters>
  <Application>Microsoft Office Word</Application>
  <DocSecurity>0</DocSecurity>
  <Lines>300</Lines>
  <Paragraphs>84</Paragraphs>
  <ScaleCrop>false</ScaleCrop>
  <Company>soporte</Company>
  <LinksUpToDate>false</LinksUpToDate>
  <CharactersWithSpaces>42477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actuaria</cp:lastModifiedBy>
  <cp:revision>1</cp:revision>
  <dcterms:created xsi:type="dcterms:W3CDTF">2018-01-29T17:19:00Z</dcterms:created>
  <dcterms:modified xsi:type="dcterms:W3CDTF">2018-01-29T17:20:00Z</dcterms:modified>
</cp:coreProperties>
</file>